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02396" w14:textId="22E76CB7" w:rsidR="005C4FAD" w:rsidRDefault="00774501" w:rsidP="2CB37A84">
      <w:pPr>
        <w:rPr>
          <w:rFonts w:ascii="Arial" w:hAnsi="Arial" w:cs="Arial"/>
          <w:b/>
          <w:bCs/>
          <w:sz w:val="36"/>
          <w:szCs w:val="36"/>
        </w:rPr>
      </w:pPr>
      <w:bookmarkStart w:id="0" w:name="LASTCURSORPOSITION"/>
      <w:r w:rsidRPr="2CB37A84">
        <w:rPr>
          <w:rFonts w:ascii="Arial" w:hAnsi="Arial" w:cs="Arial"/>
          <w:b/>
          <w:bCs/>
          <w:sz w:val="36"/>
          <w:szCs w:val="36"/>
        </w:rPr>
        <w:t>Order</w:t>
      </w:r>
      <w:r w:rsidR="00F7082A" w:rsidRPr="2CB37A84">
        <w:rPr>
          <w:rFonts w:ascii="Arial" w:hAnsi="Arial" w:cs="Arial"/>
          <w:b/>
          <w:bCs/>
          <w:sz w:val="36"/>
          <w:szCs w:val="36"/>
        </w:rPr>
        <w:t xml:space="preserve"> </w:t>
      </w:r>
      <w:r w:rsidR="0011196C" w:rsidRPr="2CB37A84">
        <w:rPr>
          <w:rFonts w:ascii="Arial" w:hAnsi="Arial" w:cs="Arial"/>
          <w:b/>
          <w:bCs/>
          <w:sz w:val="36"/>
          <w:szCs w:val="36"/>
        </w:rPr>
        <w:t>Schedule 4 (</w:t>
      </w:r>
      <w:r w:rsidR="007759AA" w:rsidRPr="2CB37A84">
        <w:rPr>
          <w:rFonts w:ascii="Arial" w:hAnsi="Arial" w:cs="Arial"/>
          <w:b/>
          <w:bCs/>
          <w:sz w:val="36"/>
          <w:szCs w:val="36"/>
        </w:rPr>
        <w:t>Order</w:t>
      </w:r>
      <w:r w:rsidR="0011196C" w:rsidRPr="2CB37A84">
        <w:rPr>
          <w:rFonts w:ascii="Arial" w:hAnsi="Arial" w:cs="Arial"/>
          <w:b/>
          <w:bCs/>
          <w:sz w:val="36"/>
          <w:szCs w:val="36"/>
        </w:rPr>
        <w:t xml:space="preserve"> Tender) </w:t>
      </w:r>
      <w:bookmarkEnd w:id="0"/>
    </w:p>
    <w:p w14:paraId="23426A32" w14:textId="77777777" w:rsidR="005C4FAD" w:rsidRDefault="005C4FAD">
      <w:pPr>
        <w:rPr>
          <w:rFonts w:ascii="Arial" w:hAnsi="Arial" w:cs="Arial"/>
          <w:b/>
          <w:bCs/>
          <w:sz w:val="36"/>
          <w:szCs w:val="36"/>
        </w:rPr>
      </w:pPr>
      <w:r>
        <w:rPr>
          <w:rFonts w:ascii="Arial" w:hAnsi="Arial" w:cs="Arial"/>
          <w:b/>
          <w:bCs/>
          <w:sz w:val="36"/>
          <w:szCs w:val="3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CF1F8" w:themeFill="accent1" w:themeFillTint="1A"/>
        <w:tblLook w:val="01E0" w:firstRow="1" w:lastRow="1" w:firstColumn="1" w:lastColumn="1" w:noHBand="0" w:noVBand="0"/>
      </w:tblPr>
      <w:tblGrid>
        <w:gridCol w:w="9016"/>
      </w:tblGrid>
      <w:tr w:rsidR="005C4FAD" w14:paraId="3FF4608D" w14:textId="77777777">
        <w:trPr>
          <w:trHeight w:val="300"/>
        </w:trPr>
        <w:tc>
          <w:tcPr>
            <w:tcW w:w="9016" w:type="dxa"/>
            <w:shd w:val="clear" w:color="auto" w:fill="ECF1F8" w:themeFill="accent1" w:themeFillTint="1A"/>
          </w:tcPr>
          <w:p w14:paraId="5562558F" w14:textId="77777777" w:rsidR="005C4FAD" w:rsidRDefault="005C4FAD">
            <w:r>
              <w:lastRenderedPageBreak/>
              <w:t xml:space="preserve">Please advise if there is any actual or perceived conflict of interest with regards to this contract and your organisation including members of staff. </w:t>
            </w:r>
          </w:p>
          <w:p w14:paraId="38792292" w14:textId="77777777" w:rsidR="005C4FAD" w:rsidRDefault="005C4FAD">
            <w:r>
              <w:t xml:space="preserve">Pass/Fail scoring criteria as follows: The Department’s opening panel will meet with the Department’s legal department and representatives from the technical evaluation panel to discuss any actual or potential conflict of interest issues that have been disclosed by a Tenderer. The attendees at this meeting will decide whether the Tenderer’s internal management processes and controls are satisfactory to safeguard against the actual or potential conflict of interest. If the team agree that a Tenderer’s internal management processes and controls are insufficient to safeguard against any conflict-of-interest issues. The team will make a recommendation to the Commercial Director to exclude that Tenderer from the procurement exercise. </w:t>
            </w:r>
          </w:p>
          <w:p w14:paraId="1A3009CB" w14:textId="77777777" w:rsidR="005C4FAD" w:rsidRPr="00FC787F" w:rsidRDefault="005C4FAD">
            <w:pPr>
              <w:rPr>
                <w:b/>
                <w:bCs/>
                <w:lang w:eastAsia="en-GB"/>
              </w:rPr>
            </w:pPr>
            <w:r>
              <w:t>Page limit: 1 A4 side, portrait, minimum font size of Arial 12 point.</w:t>
            </w:r>
          </w:p>
        </w:tc>
      </w:tr>
    </w:tbl>
    <w:tbl>
      <w:tblPr>
        <w:tblpPr w:leftFromText="180" w:rightFromText="180" w:vertAnchor="text" w:horzAnchor="margin" w:tblpY="5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5C4FAD" w14:paraId="299F5EC8" w14:textId="77777777">
        <w:trPr>
          <w:trHeight w:val="841"/>
        </w:trPr>
        <w:tc>
          <w:tcPr>
            <w:tcW w:w="9016" w:type="dxa"/>
            <w:shd w:val="clear" w:color="auto" w:fill="auto"/>
          </w:tcPr>
          <w:p w14:paraId="1D28D6B8" w14:textId="77777777" w:rsidR="005C4FAD" w:rsidRPr="00C31F69" w:rsidRDefault="005C4FAD">
            <w:pPr>
              <w:pStyle w:val="04ABodyText"/>
              <w:spacing w:after="120"/>
              <w:jc w:val="both"/>
              <w:textAlignment w:val="auto"/>
              <w:rPr>
                <w:sz w:val="24"/>
                <w:szCs w:val="24"/>
              </w:rPr>
            </w:pPr>
            <w:r w:rsidRPr="00C31F69">
              <w:rPr>
                <w:rFonts w:eastAsia="Arial"/>
                <w:sz w:val="24"/>
                <w:szCs w:val="24"/>
              </w:rPr>
              <w:t xml:space="preserve">Ipsos </w:t>
            </w:r>
            <w:r>
              <w:rPr>
                <w:rFonts w:eastAsia="Arial"/>
                <w:sz w:val="24"/>
                <w:szCs w:val="24"/>
              </w:rPr>
              <w:t xml:space="preserve">and CSES </w:t>
            </w:r>
            <w:r w:rsidRPr="00C31F69">
              <w:rPr>
                <w:rFonts w:eastAsia="Arial"/>
                <w:sz w:val="24"/>
                <w:szCs w:val="24"/>
              </w:rPr>
              <w:t>confirm that there are no actual or perceived conflicts of interest with regards to this contract and our organisation (including members of staff).</w:t>
            </w:r>
          </w:p>
          <w:p w14:paraId="42C20DFC" w14:textId="77777777" w:rsidR="005C4FAD" w:rsidRPr="00FC787F" w:rsidRDefault="005C4FAD">
            <w:pPr>
              <w:tabs>
                <w:tab w:val="left" w:pos="1395"/>
              </w:tabs>
              <w:rPr>
                <w:lang w:eastAsia="en-GB"/>
              </w:rPr>
            </w:pPr>
          </w:p>
        </w:tc>
      </w:tr>
    </w:tbl>
    <w:p w14:paraId="6203D727" w14:textId="77777777" w:rsidR="005C4FAD" w:rsidRDefault="005C4FAD" w:rsidP="005C4FAD">
      <w:pPr>
        <w:rPr>
          <w:lang w:eastAsia="en-GB"/>
        </w:rPr>
        <w:sectPr w:rsidR="005C4FAD" w:rsidSect="005C4FAD">
          <w:headerReference w:type="default" r:id="rId11"/>
          <w:pgSz w:w="11906" w:h="16838"/>
          <w:pgMar w:top="1440" w:right="1440" w:bottom="1440" w:left="1440" w:header="708" w:footer="708" w:gutter="0"/>
          <w:cols w:space="708"/>
          <w:docGrid w:linePitch="360"/>
        </w:sectPr>
      </w:pPr>
    </w:p>
    <w:p w14:paraId="4861CB5C" w14:textId="77777777" w:rsidR="005C4FAD" w:rsidRDefault="005C4FAD" w:rsidP="005C4F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5C4FAD" w14:paraId="7379AD24" w14:textId="77777777">
        <w:trPr>
          <w:trHeight w:val="300"/>
        </w:trPr>
        <w:tc>
          <w:tcPr>
            <w:tcW w:w="9016" w:type="dxa"/>
            <w:shd w:val="clear" w:color="auto" w:fill="ECF1F8" w:themeFill="accent1" w:themeFillTint="1A"/>
          </w:tcPr>
          <w:p w14:paraId="0E2F3C63" w14:textId="77777777" w:rsidR="005C4FAD" w:rsidRDefault="005C4FAD">
            <w:pPr>
              <w:rPr>
                <w:lang w:eastAsia="en-GB"/>
              </w:rPr>
            </w:pPr>
            <w:r>
              <w:rPr>
                <w:lang w:eastAsia="en-GB"/>
              </w:rPr>
              <w:t xml:space="preserve">Please confirm that your organisation will be compliant with the requirements of the General Data Protection Regulation (GDPR) legislation (Regulation (EU) 2016/679), before the contract commencement date; and note that DSIT reserves the right to vary the contract to ensure ongoing compliance with the GDPR. </w:t>
            </w:r>
          </w:p>
          <w:p w14:paraId="452C603B" w14:textId="77777777" w:rsidR="005C4FAD" w:rsidRDefault="005C4FAD">
            <w:pPr>
              <w:rPr>
                <w:lang w:eastAsia="en-GB"/>
              </w:rPr>
            </w:pPr>
            <w:r>
              <w:rPr>
                <w:lang w:eastAsia="en-GB"/>
              </w:rPr>
              <w:t xml:space="preserve">By confirming your compliance, you are confirming that you have sufficient processes and procedures in place to ensure you meet your GDPR obligations, or that you will do so before data is processed. Security measures and relevant data protection procedures should be appropriate to the nature of the data being processed and adequate safeguarding processes should be in place for high-risk data. Responses should outline data security procedures and how you will adhere to Data Protection Act and Freedom of Information Act 2000, and how the Supplier will ensure the confidentiality of data. </w:t>
            </w:r>
          </w:p>
          <w:p w14:paraId="52748F19" w14:textId="77777777" w:rsidR="005C4FAD" w:rsidRDefault="005C4FAD">
            <w:pPr>
              <w:rPr>
                <w:lang w:eastAsia="en-GB"/>
              </w:rPr>
            </w:pPr>
            <w:r>
              <w:rPr>
                <w:lang w:eastAsia="en-GB"/>
              </w:rPr>
              <w:t xml:space="preserve">Pass/Fail scoring criteria as follows: </w:t>
            </w:r>
          </w:p>
          <w:p w14:paraId="5CA29FDA" w14:textId="77777777" w:rsidR="005C4FAD" w:rsidRDefault="005C4FAD">
            <w:pPr>
              <w:rPr>
                <w:lang w:eastAsia="en-GB"/>
              </w:rPr>
            </w:pPr>
            <w:r>
              <w:rPr>
                <w:lang w:eastAsia="en-GB"/>
              </w:rPr>
              <w:t>Pass – the Tenderer confirms that their organisation will be compliant with the GDPR legislation. The Tenderer demonstrates a good understanding of data security procedures and a clear plan for adhering to the Data Protection Act and Freedom of Information Act 2000.</w:t>
            </w:r>
          </w:p>
          <w:p w14:paraId="65DB4C01" w14:textId="77777777" w:rsidR="005C4FAD" w:rsidRDefault="005C4FAD">
            <w:pPr>
              <w:rPr>
                <w:lang w:eastAsia="en-GB"/>
              </w:rPr>
            </w:pPr>
            <w:r>
              <w:rPr>
                <w:lang w:eastAsia="en-GB"/>
              </w:rPr>
              <w:t>Fail – the Tenderer indicates that they will NOT be compliant with the GDPR legislation before contract commencement. The Tenderer fails to demonstrate adequate data security procedures or cannot ensure adherence to the Data Protection Act and Freedom of Information Act 2000.</w:t>
            </w:r>
          </w:p>
          <w:p w14:paraId="28FFAC17" w14:textId="77777777" w:rsidR="005C4FAD" w:rsidRDefault="005C4FAD">
            <w:pPr>
              <w:rPr>
                <w:b/>
                <w:bCs/>
                <w:lang w:eastAsia="en-GB"/>
              </w:rPr>
            </w:pPr>
            <w:r w:rsidRPr="00BD7C9E">
              <w:rPr>
                <w:b/>
                <w:bCs/>
              </w:rPr>
              <w:t>Page limit: 1 A4 side, portrait, minimum font size of Arial 12 point.</w:t>
            </w:r>
          </w:p>
        </w:tc>
      </w:tr>
    </w:tbl>
    <w:p w14:paraId="1DF44686" w14:textId="77777777" w:rsidR="005C4FAD" w:rsidRDefault="005C4FAD" w:rsidP="005C4FAD"/>
    <w:p w14:paraId="3F4253AD" w14:textId="77777777" w:rsidR="005C4FAD" w:rsidRDefault="005C4FAD" w:rsidP="005C4FAD"/>
    <w:p w14:paraId="6E90FB3F" w14:textId="77777777" w:rsidR="005C4FAD" w:rsidRDefault="005C4FAD" w:rsidP="005C4FAD"/>
    <w:p w14:paraId="4B039333" w14:textId="77777777" w:rsidR="005C4FAD" w:rsidRDefault="005C4FAD" w:rsidP="005C4FAD">
      <w:r>
        <w:br w:type="page"/>
      </w:r>
    </w:p>
    <w:tbl>
      <w:tblPr>
        <w:tblpPr w:leftFromText="180" w:rightFromText="180" w:vertAnchor="text" w:horzAnchor="margin" w:tblpX="-289" w:tblpY="75"/>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5"/>
      </w:tblGrid>
      <w:tr w:rsidR="005C4FAD" w14:paraId="080A3995" w14:textId="77777777">
        <w:trPr>
          <w:trHeight w:val="841"/>
        </w:trPr>
        <w:tc>
          <w:tcPr>
            <w:tcW w:w="9305" w:type="dxa"/>
            <w:shd w:val="clear" w:color="auto" w:fill="auto"/>
          </w:tcPr>
          <w:p w14:paraId="6332FA58" w14:textId="77777777" w:rsidR="005C4FAD" w:rsidRPr="00BD7C9E" w:rsidRDefault="005C4FAD">
            <w:pPr>
              <w:pStyle w:val="04ABodyText"/>
              <w:spacing w:after="120"/>
              <w:jc w:val="both"/>
              <w:rPr>
                <w:rFonts w:eastAsia="Arial"/>
                <w:sz w:val="24"/>
                <w:szCs w:val="24"/>
              </w:rPr>
            </w:pPr>
            <w:r w:rsidRPr="00BD7C9E">
              <w:rPr>
                <w:rFonts w:eastAsia="Arial"/>
                <w:sz w:val="24"/>
                <w:szCs w:val="24"/>
              </w:rPr>
              <w:lastRenderedPageBreak/>
              <w:t xml:space="preserve">Ipsos </w:t>
            </w:r>
            <w:r>
              <w:rPr>
                <w:rFonts w:eastAsia="Arial"/>
                <w:sz w:val="24"/>
                <w:szCs w:val="24"/>
              </w:rPr>
              <w:t>is GDPR compliant and</w:t>
            </w:r>
            <w:r w:rsidRPr="00BD7C9E">
              <w:rPr>
                <w:rFonts w:eastAsia="Arial"/>
                <w:sz w:val="24"/>
                <w:szCs w:val="24"/>
              </w:rPr>
              <w:t xml:space="preserve"> adheres to top-tier regulatory standards including the UK</w:t>
            </w:r>
            <w:r>
              <w:rPr>
                <w:rFonts w:eastAsia="Arial"/>
                <w:sz w:val="24"/>
                <w:szCs w:val="24"/>
              </w:rPr>
              <w:t xml:space="preserve"> GDPR, UK</w:t>
            </w:r>
            <w:r w:rsidRPr="00BD7C9E">
              <w:rPr>
                <w:rFonts w:eastAsia="Arial"/>
                <w:sz w:val="24"/>
                <w:szCs w:val="24"/>
              </w:rPr>
              <w:t xml:space="preserve"> Data Protection Act 2018, Market Research Society Code of Conduct, and international ISO standards for information security (27001), market research (20252), and company quality (9001). Accredited to HMG Cyber Essentials scheme, Ipsos also subscribes to the 'Fair Data' scheme.</w:t>
            </w:r>
            <w:r>
              <w:rPr>
                <w:rFonts w:eastAsia="Arial"/>
                <w:sz w:val="24"/>
                <w:szCs w:val="24"/>
              </w:rPr>
              <w:t xml:space="preserve"> Compliance with </w:t>
            </w:r>
            <w:r w:rsidRPr="00BD7C9E">
              <w:rPr>
                <w:rFonts w:eastAsia="Arial"/>
                <w:sz w:val="24"/>
                <w:szCs w:val="24"/>
              </w:rPr>
              <w:t xml:space="preserve">GDPR </w:t>
            </w:r>
            <w:r>
              <w:rPr>
                <w:rFonts w:eastAsia="Arial"/>
                <w:sz w:val="24"/>
                <w:szCs w:val="24"/>
              </w:rPr>
              <w:t>is</w:t>
            </w:r>
            <w:r w:rsidRPr="00BD7C9E">
              <w:rPr>
                <w:rFonts w:eastAsia="Arial"/>
                <w:sz w:val="24"/>
                <w:szCs w:val="24"/>
              </w:rPr>
              <w:t xml:space="preserve"> overseen by our UK Data Protection Officer (DPO).  </w:t>
            </w:r>
          </w:p>
          <w:p w14:paraId="35BAF49C" w14:textId="77777777" w:rsidR="005C4FAD" w:rsidRDefault="005C4FAD">
            <w:pPr>
              <w:pStyle w:val="04ABodyText"/>
              <w:spacing w:after="120"/>
              <w:jc w:val="both"/>
              <w:rPr>
                <w:rFonts w:eastAsia="Arial"/>
                <w:sz w:val="24"/>
                <w:szCs w:val="24"/>
              </w:rPr>
            </w:pPr>
            <w:r>
              <w:rPr>
                <w:rFonts w:eastAsia="Arial"/>
                <w:sz w:val="24"/>
                <w:szCs w:val="24"/>
              </w:rPr>
              <w:t>To support</w:t>
            </w:r>
            <w:r w:rsidRPr="00BD7C9E">
              <w:rPr>
                <w:rFonts w:eastAsia="Arial"/>
                <w:sz w:val="24"/>
                <w:szCs w:val="24"/>
              </w:rPr>
              <w:t xml:space="preserve"> </w:t>
            </w:r>
            <w:r w:rsidRPr="0093233E">
              <w:rPr>
                <w:rFonts w:eastAsia="Arial"/>
                <w:b/>
                <w:bCs/>
                <w:sz w:val="24"/>
                <w:szCs w:val="24"/>
              </w:rPr>
              <w:t>Data Subject Access Rights</w:t>
            </w:r>
            <w:r>
              <w:rPr>
                <w:rFonts w:eastAsia="Arial"/>
                <w:sz w:val="24"/>
                <w:szCs w:val="24"/>
              </w:rPr>
              <w:t>, p</w:t>
            </w:r>
            <w:r w:rsidRPr="00BD7C9E">
              <w:rPr>
                <w:rFonts w:eastAsia="Arial"/>
                <w:sz w:val="24"/>
                <w:szCs w:val="24"/>
              </w:rPr>
              <w:t xml:space="preserve">rivacy notices and information sheets contain contact details for our internal compliance teams, client compliance teams and the Information Commissioner’s Office so participants can easily request access to their data in a way that suits their needs (e.g. email, post, telephone). Privacy notices </w:t>
            </w:r>
            <w:r>
              <w:rPr>
                <w:rFonts w:eastAsia="Arial"/>
                <w:sz w:val="24"/>
                <w:szCs w:val="24"/>
              </w:rPr>
              <w:t>will be shared with DSIT</w:t>
            </w:r>
            <w:r w:rsidRPr="00BD7C9E">
              <w:rPr>
                <w:rFonts w:eastAsia="Arial"/>
                <w:sz w:val="24"/>
                <w:szCs w:val="24"/>
              </w:rPr>
              <w:t xml:space="preserve"> to ensure they are suitable for the research audience.</w:t>
            </w:r>
          </w:p>
          <w:p w14:paraId="6046DB10" w14:textId="77777777" w:rsidR="005C4FAD" w:rsidRPr="00BD7C9E" w:rsidRDefault="005C4FAD">
            <w:pPr>
              <w:pStyle w:val="04ABodyText"/>
              <w:spacing w:after="120"/>
              <w:jc w:val="both"/>
              <w:rPr>
                <w:rFonts w:eastAsia="Arial"/>
                <w:sz w:val="24"/>
                <w:szCs w:val="24"/>
              </w:rPr>
            </w:pPr>
            <w:r>
              <w:rPr>
                <w:rFonts w:eastAsia="Arial"/>
                <w:sz w:val="24"/>
                <w:szCs w:val="24"/>
              </w:rPr>
              <w:t xml:space="preserve">Ipsos staff </w:t>
            </w:r>
            <w:r w:rsidRPr="00BD7C9E">
              <w:rPr>
                <w:rFonts w:eastAsia="Arial"/>
                <w:sz w:val="24"/>
                <w:szCs w:val="24"/>
              </w:rPr>
              <w:t xml:space="preserve">are provided with guidance on incident reporting, including any actual or suspected event that could or has led to a breach of personal information. </w:t>
            </w:r>
            <w:r>
              <w:rPr>
                <w:rFonts w:eastAsia="Arial"/>
                <w:sz w:val="24"/>
                <w:szCs w:val="24"/>
              </w:rPr>
              <w:t>Jan Franke</w:t>
            </w:r>
            <w:r w:rsidRPr="00BD7C9E">
              <w:rPr>
                <w:rFonts w:eastAsia="Arial"/>
                <w:sz w:val="24"/>
                <w:szCs w:val="24"/>
              </w:rPr>
              <w:t>, as project director, would be responsible for reporting any such events in a timely manner to ensure immediate and effective action can be taken</w:t>
            </w:r>
            <w:r>
              <w:rPr>
                <w:rFonts w:eastAsia="Arial"/>
                <w:sz w:val="24"/>
                <w:szCs w:val="24"/>
              </w:rPr>
              <w:t xml:space="preserve"> via </w:t>
            </w:r>
            <w:r w:rsidRPr="00BD7C9E">
              <w:rPr>
                <w:rFonts w:eastAsia="Arial"/>
                <w:sz w:val="24"/>
                <w:szCs w:val="24"/>
              </w:rPr>
              <w:t xml:space="preserve">a Data Breach Notification form. Our DPO is then responsible for ensuring that incidents are managed proportionately, looking in detail at the potential impact and recommending appropriate action. This would also be discussed with the </w:t>
            </w:r>
            <w:r>
              <w:rPr>
                <w:rFonts w:eastAsia="Arial"/>
                <w:sz w:val="24"/>
                <w:szCs w:val="24"/>
              </w:rPr>
              <w:t>DSIT/AISI team</w:t>
            </w:r>
            <w:r w:rsidRPr="00BD7C9E">
              <w:rPr>
                <w:rFonts w:eastAsia="Arial"/>
                <w:sz w:val="24"/>
                <w:szCs w:val="24"/>
              </w:rPr>
              <w:t>, where relevant.</w:t>
            </w:r>
          </w:p>
          <w:p w14:paraId="194EDF37" w14:textId="77777777" w:rsidR="005C4FAD" w:rsidRPr="00BD7C9E" w:rsidRDefault="005C4FAD">
            <w:pPr>
              <w:pStyle w:val="04ABodyText"/>
              <w:spacing w:after="120"/>
              <w:jc w:val="both"/>
              <w:rPr>
                <w:rFonts w:eastAsia="Arial"/>
                <w:sz w:val="24"/>
                <w:szCs w:val="24"/>
              </w:rPr>
            </w:pPr>
            <w:r>
              <w:rPr>
                <w:rFonts w:eastAsia="Arial"/>
                <w:sz w:val="24"/>
                <w:szCs w:val="24"/>
              </w:rPr>
              <w:t>All personal and sensitive data w</w:t>
            </w:r>
            <w:r w:rsidRPr="00BD7C9E">
              <w:rPr>
                <w:rFonts w:eastAsia="Arial"/>
                <w:sz w:val="24"/>
                <w:szCs w:val="24"/>
              </w:rPr>
              <w:t xml:space="preserve">iles must be </w:t>
            </w:r>
            <w:proofErr w:type="spellStart"/>
            <w:r w:rsidRPr="00BD7C9E">
              <w:rPr>
                <w:rFonts w:eastAsia="Arial"/>
                <w:sz w:val="24"/>
                <w:szCs w:val="24"/>
              </w:rPr>
              <w:t>winzipped</w:t>
            </w:r>
            <w:proofErr w:type="spellEnd"/>
            <w:r w:rsidRPr="00BD7C9E">
              <w:rPr>
                <w:rFonts w:eastAsia="Arial"/>
                <w:sz w:val="24"/>
                <w:szCs w:val="24"/>
              </w:rPr>
              <w:t xml:space="preserve"> to the minimum AES 256 standard and transferred securely. We have our own secure web-based SFTP system for transfers with suppliers and clients (</w:t>
            </w:r>
            <w:proofErr w:type="spellStart"/>
            <w:r w:rsidRPr="00BD7C9E">
              <w:rPr>
                <w:rFonts w:eastAsia="Arial"/>
                <w:sz w:val="24"/>
                <w:szCs w:val="24"/>
              </w:rPr>
              <w:t>IpsoTransfer</w:t>
            </w:r>
            <w:proofErr w:type="spellEnd"/>
            <w:r w:rsidRPr="00BD7C9E">
              <w:rPr>
                <w:rFonts w:eastAsia="Arial"/>
                <w:sz w:val="24"/>
                <w:szCs w:val="24"/>
              </w:rPr>
              <w:t>) which we routinely use for secure of all documents on our projects unless clients have preference for an alternative, equally secure option.  Files are encrypted and password protected, using our password management policy. Ipsos uses managed hosting services provided by Rackspace which is accessed and controlled by Ipsos employees only.</w:t>
            </w:r>
            <w:r>
              <w:rPr>
                <w:rFonts w:eastAsia="Arial"/>
                <w:sz w:val="24"/>
                <w:szCs w:val="24"/>
              </w:rPr>
              <w:t xml:space="preserve"> </w:t>
            </w:r>
            <w:r w:rsidRPr="00BD7C9E">
              <w:rPr>
                <w:rFonts w:eastAsia="Arial"/>
                <w:sz w:val="24"/>
                <w:szCs w:val="24"/>
              </w:rPr>
              <w:t xml:space="preserve">Where personal data is being stored, access </w:t>
            </w:r>
            <w:r>
              <w:rPr>
                <w:rFonts w:eastAsia="Arial"/>
                <w:sz w:val="24"/>
                <w:szCs w:val="24"/>
              </w:rPr>
              <w:t>is</w:t>
            </w:r>
            <w:r w:rsidRPr="00BD7C9E">
              <w:rPr>
                <w:rFonts w:eastAsia="Arial"/>
                <w:sz w:val="24"/>
                <w:szCs w:val="24"/>
              </w:rPr>
              <w:t xml:space="preserve"> restricted through the use of secure project folders with named user access, file classification procedures and password protection, ensuring only necessary members have access. </w:t>
            </w:r>
          </w:p>
          <w:p w14:paraId="01D5F1C3" w14:textId="77777777" w:rsidR="005C4FAD" w:rsidRPr="00BD7C9E" w:rsidRDefault="005C4FAD">
            <w:pPr>
              <w:pStyle w:val="04ABodyText"/>
              <w:spacing w:after="120"/>
              <w:jc w:val="both"/>
              <w:rPr>
                <w:rFonts w:eastAsia="Arial"/>
                <w:sz w:val="24"/>
                <w:szCs w:val="24"/>
              </w:rPr>
            </w:pPr>
            <w:r w:rsidRPr="00BD7C9E">
              <w:rPr>
                <w:rFonts w:eastAsia="Arial"/>
                <w:sz w:val="24"/>
                <w:szCs w:val="24"/>
              </w:rPr>
              <w:t>All Ipsos sub-contractors are required to go through our documented supplier approval process. This includes a comprehensive Third-Party Compliance and Information Security Risk Assessment.</w:t>
            </w:r>
            <w:r>
              <w:rPr>
                <w:rFonts w:eastAsia="Arial"/>
                <w:sz w:val="24"/>
                <w:szCs w:val="24"/>
              </w:rPr>
              <w:t xml:space="preserve"> </w:t>
            </w:r>
            <w:r w:rsidRPr="00BD7C9E">
              <w:rPr>
                <w:rFonts w:eastAsia="Arial"/>
                <w:sz w:val="24"/>
                <w:szCs w:val="24"/>
              </w:rPr>
              <w:t xml:space="preserve">Upon successful completion of the risk assessment, suppliers are issued with a comprehensive contract which includes clauses around quality, data protection, information security, confidentiality and the right to audit. Supplier management is reviewed annually by both our external and internal auditing teams. All partners </w:t>
            </w:r>
            <w:r>
              <w:rPr>
                <w:rFonts w:eastAsia="Arial"/>
                <w:sz w:val="24"/>
                <w:szCs w:val="24"/>
              </w:rPr>
              <w:t>follow</w:t>
            </w:r>
            <w:r w:rsidRPr="00BD7C9E">
              <w:rPr>
                <w:rFonts w:eastAsia="Arial"/>
                <w:sz w:val="24"/>
                <w:szCs w:val="24"/>
              </w:rPr>
              <w:t xml:space="preserve"> Ipsos’ aforementioned strict requirements.</w:t>
            </w:r>
          </w:p>
          <w:p w14:paraId="07A882D6" w14:textId="77777777" w:rsidR="005C4FAD" w:rsidRPr="00BD7C9E" w:rsidRDefault="005C4FAD">
            <w:pPr>
              <w:pStyle w:val="04ABodyText"/>
              <w:spacing w:after="120"/>
              <w:jc w:val="both"/>
              <w:rPr>
                <w:rFonts w:eastAsia="Arial"/>
                <w:sz w:val="24"/>
                <w:szCs w:val="24"/>
              </w:rPr>
            </w:pPr>
            <w:r w:rsidRPr="00BD7C9E">
              <w:rPr>
                <w:rFonts w:eastAsia="Arial"/>
                <w:sz w:val="24"/>
                <w:szCs w:val="24"/>
              </w:rPr>
              <w:t>Our approach is based on privacy by design, meaning: (</w:t>
            </w:r>
            <w:proofErr w:type="spellStart"/>
            <w:r w:rsidRPr="00BD7C9E">
              <w:rPr>
                <w:rFonts w:eastAsia="Arial"/>
                <w:sz w:val="24"/>
                <w:szCs w:val="24"/>
              </w:rPr>
              <w:t>i</w:t>
            </w:r>
            <w:proofErr w:type="spellEnd"/>
            <w:r w:rsidRPr="00BD7C9E">
              <w:rPr>
                <w:rFonts w:eastAsia="Arial"/>
                <w:sz w:val="24"/>
                <w:szCs w:val="24"/>
              </w:rPr>
              <w:t xml:space="preserve">) agreeing the legal basis for processing with you/interviewees in advance (e.g. consent); (ii) creating a data flow, determining whether the research has acceptable privacy outcomes, ensuring that the team adopts strategies to reduce or mitigate any identified risks; (iii) ensuring that the information provided to participants is transparent and that a privacy notice is available; </w:t>
            </w:r>
            <w:r w:rsidRPr="00BD7C9E">
              <w:rPr>
                <w:rFonts w:eastAsia="Arial"/>
                <w:sz w:val="24"/>
                <w:szCs w:val="24"/>
              </w:rPr>
              <w:lastRenderedPageBreak/>
              <w:t>and (iv) ensuring that all materials are GDPR-compliant in terms of introductions, reassurances and our approach to asking sensitive questions.</w:t>
            </w:r>
          </w:p>
          <w:p w14:paraId="66AFF9AC" w14:textId="77777777" w:rsidR="005C4FAD" w:rsidRPr="00FC787F" w:rsidRDefault="005C4FAD">
            <w:pPr>
              <w:pStyle w:val="04ABodyText"/>
              <w:spacing w:after="120"/>
              <w:jc w:val="both"/>
            </w:pPr>
            <w:r>
              <w:rPr>
                <w:rFonts w:eastAsia="Arial"/>
                <w:sz w:val="24"/>
                <w:szCs w:val="24"/>
              </w:rPr>
              <w:t>D</w:t>
            </w:r>
            <w:r w:rsidRPr="00BD7C9E">
              <w:rPr>
                <w:rFonts w:eastAsia="Arial"/>
                <w:sz w:val="24"/>
                <w:szCs w:val="24"/>
              </w:rPr>
              <w:t>ata protection is ingrained in our policies and procedures, with our Business Excellence System (BES) dictating data classification, labelling, handling, storage, transfer, and destruction to meet contractual and GDPR requirements for personal information safeguarding.</w:t>
            </w:r>
          </w:p>
        </w:tc>
      </w:tr>
    </w:tbl>
    <w:p w14:paraId="0B4FC839" w14:textId="783FB15F" w:rsidR="005C4FAD" w:rsidRDefault="005C4FAD" w:rsidP="005C4FAD"/>
    <w:p w14:paraId="3E848BF6" w14:textId="77777777" w:rsidR="005C4FAD" w:rsidRDefault="005C4FAD">
      <w:r>
        <w:br w:type="page"/>
      </w:r>
    </w:p>
    <w:p w14:paraId="7DFA3F58" w14:textId="39AD6498" w:rsidR="005C4FAD" w:rsidRDefault="005C4FAD" w:rsidP="005C4FAD">
      <w:pPr>
        <w:spacing w:before="120" w:after="240" w:line="240" w:lineRule="auto"/>
        <w:rPr>
          <w:rFonts w:ascii="Arial" w:eastAsia="Times New Roman" w:hAnsi="Arial" w:cs="Arial"/>
          <w:b/>
          <w:bCs/>
          <w:color w:val="0070C0"/>
          <w:sz w:val="24"/>
          <w:szCs w:val="24"/>
          <w:lang w:eastAsia="en-GB"/>
        </w:rPr>
      </w:pPr>
      <w:r>
        <w:rPr>
          <w:rFonts w:ascii="Arial" w:eastAsia="Times New Roman" w:hAnsi="Arial" w:cs="Arial"/>
          <w:b/>
          <w:bCs/>
          <w:color w:val="0070C0"/>
          <w:sz w:val="24"/>
          <w:szCs w:val="24"/>
          <w:lang w:eastAsia="en-GB"/>
        </w:rPr>
        <w:lastRenderedPageBreak/>
        <w:t>3. SKILLS AND EXPERTISE</w:t>
      </w:r>
    </w:p>
    <w:p w14:paraId="308A5588"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sz w:val="24"/>
          <w:szCs w:val="24"/>
          <w:lang w:eastAsia="en-GB"/>
        </w:rPr>
        <w:t xml:space="preserve">We are delighted to submit this proposal to the Department for Science, Innovation and Technology (DSIT). We have formed a consortium that brings together industry-leading expertise in evaluations, impact assessments, AI policy and applications, and innovation policy to ensure we fully meet the requirements of this study. As the largest social research organisation in the UK and </w:t>
      </w:r>
      <w:proofErr w:type="gramStart"/>
      <w:r w:rsidRPr="005C4FAD">
        <w:rPr>
          <w:rFonts w:ascii="Arial" w:eastAsia="Times New Roman" w:hAnsi="Arial" w:cs="Arial"/>
          <w:sz w:val="24"/>
          <w:szCs w:val="24"/>
          <w:lang w:eastAsia="en-GB"/>
        </w:rPr>
        <w:t>thought-leaders</w:t>
      </w:r>
      <w:proofErr w:type="gramEnd"/>
      <w:r w:rsidRPr="005C4FAD">
        <w:rPr>
          <w:rFonts w:ascii="Arial" w:eastAsia="Times New Roman" w:hAnsi="Arial" w:cs="Arial"/>
          <w:sz w:val="24"/>
          <w:szCs w:val="24"/>
          <w:lang w:eastAsia="en-GB"/>
        </w:rPr>
        <w:t xml:space="preserve"> in AI, we are ideally placed to lead this work, drawing on expertise from our dedicated Policy and Evaluation Unit, Trade, Innovation and Enterprise team and Research Methods Centre. Our partner brings strong technical understanding of AI and machine learning techniques, as well as the risk associated with AI applications in different global policy contexts. We have previously worked together on an evaluation of the Risk-Sharing Finance Facility and Risk-Sharing Instrument Pilot. Our expertise and experience </w:t>
      </w:r>
      <w:proofErr w:type="gramStart"/>
      <w:r w:rsidRPr="005C4FAD">
        <w:rPr>
          <w:rFonts w:ascii="Arial" w:eastAsia="Times New Roman" w:hAnsi="Arial" w:cs="Arial"/>
          <w:sz w:val="24"/>
          <w:szCs w:val="24"/>
          <w:lang w:eastAsia="en-GB"/>
        </w:rPr>
        <w:t>includes</w:t>
      </w:r>
      <w:proofErr w:type="gramEnd"/>
      <w:r w:rsidRPr="005C4FAD">
        <w:rPr>
          <w:rFonts w:ascii="Arial" w:eastAsia="Times New Roman" w:hAnsi="Arial" w:cs="Arial"/>
          <w:sz w:val="24"/>
          <w:szCs w:val="24"/>
          <w:lang w:eastAsia="en-GB"/>
        </w:rPr>
        <w:t>:</w:t>
      </w:r>
    </w:p>
    <w:p w14:paraId="46000099"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color w:val="2F469C"/>
          <w:sz w:val="24"/>
          <w:szCs w:val="24"/>
          <w:lang w:eastAsia="en-GB"/>
        </w:rPr>
        <w:t>(</w:t>
      </w:r>
      <w:proofErr w:type="spellStart"/>
      <w:r w:rsidRPr="005C4FAD">
        <w:rPr>
          <w:rFonts w:ascii="Arial" w:eastAsia="Times New Roman" w:hAnsi="Arial" w:cs="Arial"/>
          <w:color w:val="2F469C"/>
          <w:sz w:val="24"/>
          <w:szCs w:val="24"/>
          <w:lang w:eastAsia="en-GB"/>
        </w:rPr>
        <w:t>i</w:t>
      </w:r>
      <w:proofErr w:type="spellEnd"/>
      <w:r w:rsidRPr="005C4FAD">
        <w:rPr>
          <w:rFonts w:ascii="Arial" w:eastAsia="Times New Roman" w:hAnsi="Arial" w:cs="Arial"/>
          <w:color w:val="2F469C"/>
          <w:sz w:val="24"/>
          <w:szCs w:val="24"/>
          <w:lang w:eastAsia="en-GB"/>
        </w:rPr>
        <w:t xml:space="preserve">) Extensive methodological expertise: </w:t>
      </w:r>
      <w:r w:rsidRPr="005C4FAD">
        <w:rPr>
          <w:rFonts w:ascii="Arial" w:eastAsia="Times New Roman" w:hAnsi="Arial" w:cs="Arial"/>
          <w:sz w:val="24"/>
          <w:szCs w:val="24"/>
          <w:lang w:eastAsia="en-GB"/>
        </w:rPr>
        <w:t xml:space="preserve">We bring experience of delivering process, impact and economic evaluations for all UK Government departments and a breadth of UK and European government agencies and international clients (e.g. World Bank, Global Vaccine Alliance). We are experts in designing and delivering highly complex impact methodologies (e.g., RCTs for DfE’s Multiply programme and DSIT’s Flexible AI Upskilling Fund) and routinely use Quasi-Experimental methods (e.g. Difference in Difference analysis, Regression Discontinuity Design) and Theory based approaches in our evaluations of innovation and R&amp;D programmes (detailed below) as well as policies in energy and environment, transport and infrastructure and social policy. Our evaluations always begin with extensive scoping to assess the feasibility of different design options, drawing on our understanding of the evidence requirements and strengths/limitations of different approaches to identify the most robust approach. </w:t>
      </w:r>
    </w:p>
    <w:p w14:paraId="0923BE49"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color w:val="2F469C"/>
          <w:sz w:val="24"/>
          <w:szCs w:val="24"/>
          <w:lang w:eastAsia="en-GB"/>
        </w:rPr>
        <w:t>(ii) Evaluation of innovation and R&amp;D programmes</w:t>
      </w:r>
      <w:r w:rsidRPr="005C4FAD">
        <w:rPr>
          <w:rFonts w:ascii="Arial" w:eastAsia="Times New Roman" w:hAnsi="Arial" w:cs="Arial"/>
          <w:sz w:val="24"/>
          <w:szCs w:val="24"/>
          <w:lang w:eastAsia="en-GB"/>
        </w:rPr>
        <w:t>: We have extensive track in evaluations of innovation and R&amp;D policy and programmes, including those relating to emerging and enabling technologies. We have delivered impact evaluations of Innovate UK’s COVID-19 Funding Response programme, Sector Foundation Competitions, Fast Start, alongside an impact review of IUK’s AI-related activity, Theory of Change development for the Innovation Accelerators and Medicines Discovery Catapult. We delivered evaluations of the Industrial Strategy Challenge Funds (Prospering from the Energy Revolution, Medicines Manufacturing, Robotics and Artificial Intelligence and Industrial Decarbonisation) and a 2020 study for the European Commission on the Universities of the Future, which included a focus on AI. Many of these studies involve extensive fieldwork with stakeholders similar to those of relevance to this assignment. For example, for an evaluation of the MRC’s translational research portfolio, we undertook c300 qualitative interviews with biotech and digital health startups, academics, and wider regulatory and policy stakeholders.</w:t>
      </w:r>
    </w:p>
    <w:p w14:paraId="3B479BAF" w14:textId="77777777" w:rsidR="005C4FAD" w:rsidRPr="005C4FAD" w:rsidRDefault="005C4FAD" w:rsidP="005C4FAD">
      <w:pPr>
        <w:spacing w:before="60" w:after="60" w:line="240" w:lineRule="auto"/>
        <w:jc w:val="both"/>
        <w:rPr>
          <w:rFonts w:ascii="Arial" w:eastAsia="Times New Roman" w:hAnsi="Arial" w:cs="Arial"/>
          <w:sz w:val="24"/>
          <w:szCs w:val="24"/>
          <w:shd w:val="clear" w:color="auto" w:fill="FFFFFF"/>
          <w:lang w:eastAsia="en-GB"/>
        </w:rPr>
      </w:pPr>
      <w:r w:rsidRPr="005C4FAD">
        <w:rPr>
          <w:rFonts w:ascii="Arial" w:eastAsia="Times New Roman" w:hAnsi="Arial" w:cs="Arial"/>
          <w:color w:val="2F469C"/>
          <w:sz w:val="24"/>
          <w:szCs w:val="24"/>
          <w:shd w:val="clear" w:color="auto" w:fill="FFFFFF"/>
          <w:lang w:eastAsia="en-GB"/>
        </w:rPr>
        <w:t xml:space="preserve">(iii) Evaluations of institutions </w:t>
      </w:r>
      <w:r w:rsidRPr="005C4FAD">
        <w:rPr>
          <w:rFonts w:ascii="Arial" w:eastAsia="Times New Roman" w:hAnsi="Arial" w:cs="Arial"/>
          <w:sz w:val="24"/>
          <w:szCs w:val="24"/>
          <w:shd w:val="clear" w:color="auto" w:fill="FFFFFF"/>
          <w:lang w:eastAsia="en-GB"/>
        </w:rPr>
        <w:t>including</w:t>
      </w:r>
      <w:r w:rsidRPr="005C4FAD">
        <w:rPr>
          <w:rFonts w:ascii="Arial" w:eastAsia="Times New Roman" w:hAnsi="Arial" w:cs="Arial"/>
          <w:color w:val="2F469C"/>
          <w:sz w:val="24"/>
          <w:szCs w:val="24"/>
          <w:shd w:val="clear" w:color="auto" w:fill="FFFFFF"/>
          <w:lang w:eastAsia="en-GB"/>
        </w:rPr>
        <w:t xml:space="preserve"> </w:t>
      </w:r>
      <w:r w:rsidRPr="005C4FAD">
        <w:rPr>
          <w:rFonts w:ascii="Arial" w:eastAsia="Times New Roman" w:hAnsi="Arial" w:cs="Arial"/>
          <w:sz w:val="24"/>
          <w:szCs w:val="24"/>
          <w:shd w:val="clear" w:color="auto" w:fill="FFFFFF"/>
          <w:lang w:eastAsia="en-GB"/>
        </w:rPr>
        <w:t xml:space="preserve">an independent evaluation of the European Fisheries Control Agency (2017-2023); a study supporting the evaluation of the European Environment Agency and European Environment Information and Observation Network; an assessment of the organisational effectiveness of the European Centre for Disease Prevention and Control; evaluation of Defra’s Systems </w:t>
      </w:r>
      <w:r w:rsidRPr="005C4FAD">
        <w:rPr>
          <w:rFonts w:ascii="Arial" w:eastAsia="Times New Roman" w:hAnsi="Arial" w:cs="Arial"/>
          <w:sz w:val="24"/>
          <w:szCs w:val="24"/>
          <w:shd w:val="clear" w:color="auto" w:fill="FFFFFF"/>
          <w:lang w:eastAsia="en-GB"/>
        </w:rPr>
        <w:lastRenderedPageBreak/>
        <w:t>Research programme, development of a framework to monitor &amp; evaluate Natural England, and an evaluation of their Science, Evidence and Evaluation strategy.</w:t>
      </w:r>
    </w:p>
    <w:p w14:paraId="452C6603" w14:textId="77777777" w:rsidR="005C4FAD" w:rsidRPr="005C4FAD" w:rsidRDefault="005C4FAD" w:rsidP="005C4FAD">
      <w:pPr>
        <w:spacing w:before="60" w:after="60" w:line="240" w:lineRule="auto"/>
        <w:jc w:val="both"/>
        <w:rPr>
          <w:rFonts w:ascii="Arial" w:eastAsia="Times New Roman" w:hAnsi="Arial" w:cs="Arial"/>
          <w:sz w:val="24"/>
          <w:szCs w:val="24"/>
          <w:shd w:val="clear" w:color="auto" w:fill="FFFFFF"/>
          <w:lang w:eastAsia="en-GB"/>
        </w:rPr>
      </w:pPr>
      <w:r w:rsidRPr="005C4FAD">
        <w:rPr>
          <w:rFonts w:ascii="Arial" w:eastAsia="Times New Roman" w:hAnsi="Arial" w:cs="Arial"/>
          <w:color w:val="2F469C"/>
          <w:sz w:val="24"/>
          <w:szCs w:val="24"/>
          <w:shd w:val="clear" w:color="auto" w:fill="FFFFFF"/>
          <w:lang w:eastAsia="en-GB"/>
        </w:rPr>
        <w:t xml:space="preserve">(iv) Evaluation of dynamic contexts and nascent technology areas: </w:t>
      </w:r>
      <w:r w:rsidRPr="005C4FAD">
        <w:rPr>
          <w:rFonts w:ascii="Arial" w:eastAsia="Times New Roman" w:hAnsi="Arial" w:cs="Arial"/>
          <w:sz w:val="24"/>
          <w:szCs w:val="24"/>
          <w:shd w:val="clear" w:color="auto" w:fill="FFFFFF"/>
          <w:lang w:eastAsia="en-GB"/>
        </w:rPr>
        <w:t>including the design of an evaluation framework for the Online Safety Act, an evaluation of the Government’s Resource and Waste Strategy, spanning 12 policies anticipated as part of the strategy, as well as evaluations of Government-backed VC funds and other programmes supporting nascent sectors such as AI, gene therapies and personalised medicine, quantum computing and digital health technologies.</w:t>
      </w:r>
    </w:p>
    <w:p w14:paraId="535247F9"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color w:val="2F469C"/>
          <w:sz w:val="24"/>
          <w:szCs w:val="24"/>
          <w:shd w:val="clear" w:color="auto" w:fill="FFFFFF"/>
          <w:lang w:eastAsia="en-GB"/>
        </w:rPr>
        <w:t>(v) AI research and evaluation:</w:t>
      </w:r>
      <w:r w:rsidRPr="005C4FAD">
        <w:rPr>
          <w:rFonts w:ascii="Arial" w:eastAsia="Times New Roman" w:hAnsi="Arial" w:cs="Arial"/>
          <w:b/>
          <w:bCs/>
          <w:sz w:val="24"/>
          <w:szCs w:val="24"/>
          <w:shd w:val="clear" w:color="auto" w:fill="FFFFFF"/>
          <w:lang w:eastAsia="en-GB"/>
        </w:rPr>
        <w:t xml:space="preserve"> </w:t>
      </w:r>
      <w:r w:rsidRPr="005C4FAD">
        <w:rPr>
          <w:rFonts w:ascii="Arial" w:eastAsia="Times New Roman" w:hAnsi="Arial" w:cs="Arial"/>
          <w:sz w:val="24"/>
          <w:szCs w:val="24"/>
          <w:shd w:val="clear" w:color="auto" w:fill="FFFFFF"/>
          <w:lang w:eastAsia="en-GB"/>
        </w:rPr>
        <w:t xml:space="preserve">We are currently delivering an evaluation of DSIT’s Flexible AI Upskilling Fund to understand what works in stimulating private sector investment in AI skills training. We have delivered projects examining the </w:t>
      </w:r>
      <w:r w:rsidRPr="005C4FAD">
        <w:rPr>
          <w:rFonts w:ascii="Arial" w:eastAsia="Times New Roman" w:hAnsi="Arial" w:cs="Arial"/>
          <w:sz w:val="24"/>
          <w:szCs w:val="24"/>
          <w:lang w:eastAsia="en-GB"/>
        </w:rPr>
        <w:t xml:space="preserve">impact of AI on product safety for OPSS, which involved engaging relevant stakeholders across the research base, think tanks, tech hubs, government and public bodies, law firms, AI developers, consumer associations and product safety practitioners; and investigated the impact of digitalisation on EU industry and the risks associated with AI applications deployed online. </w:t>
      </w:r>
      <w:r w:rsidRPr="005C4FAD">
        <w:rPr>
          <w:rFonts w:ascii="Arial" w:eastAsia="Times New Roman" w:hAnsi="Arial" w:cs="Arial"/>
          <w:sz w:val="24"/>
          <w:szCs w:val="24"/>
          <w:shd w:val="clear" w:color="auto" w:fill="FFFFFF"/>
          <w:lang w:eastAsia="en-GB"/>
        </w:rPr>
        <w:t xml:space="preserve">We were a partner on an </w:t>
      </w:r>
      <w:r w:rsidRPr="005C4FAD">
        <w:rPr>
          <w:rFonts w:ascii="Arial" w:eastAsia="Times New Roman" w:hAnsi="Arial" w:cs="Arial"/>
          <w:sz w:val="24"/>
          <w:szCs w:val="24"/>
          <w:lang w:eastAsia="en-GB"/>
        </w:rPr>
        <w:t xml:space="preserve">AI sector study for DSIT that began in 2022, and again for the follow up study that began in 2024, leading the quantity survey and qualitative follow-up, looking at the growth, barriers and market dynamics of the UK’s AI sector; a study for DCMS on understanding the UK AI labour market, including skills, diversity and pathways into AI careers; AI Skills for Life and Work study for DSIT focussing on the AI skills that may be required in future day-to-day life and work, utilising a range of approaches, including depth interviews with experts, surveys with employers and the general public, public and stakeholder engagement, analysis of job vacancies and patent analyses </w:t>
      </w:r>
    </w:p>
    <w:p w14:paraId="169FEEDB"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b/>
          <w:bCs/>
          <w:color w:val="2F469C"/>
          <w:sz w:val="24"/>
          <w:szCs w:val="24"/>
          <w:lang w:eastAsia="en-GB"/>
        </w:rPr>
        <w:t>Team overview:</w:t>
      </w:r>
      <w:r w:rsidRPr="005C4FAD">
        <w:rPr>
          <w:rFonts w:ascii="Arial" w:eastAsia="Times New Roman" w:hAnsi="Arial" w:cs="Arial"/>
          <w:sz w:val="24"/>
          <w:szCs w:val="24"/>
          <w:lang w:eastAsia="en-GB"/>
        </w:rPr>
        <w:t xml:space="preserve"> The team is structured around a core management group comprising an experienced overall Project Director (PD) and Project Manager (PM) who will be the main point of contact for DSIT, supported by a Deputy Project Manager (DPM). They will be overseen by a panel of specialist experts who will be drawn on to inform our extensive feasibility assessment during the scoping phase. </w:t>
      </w:r>
    </w:p>
    <w:p w14:paraId="109B0168" w14:textId="62D3BFC4" w:rsidR="005C4FAD" w:rsidRPr="005C4FAD" w:rsidRDefault="00765E3F" w:rsidP="005C4FAD">
      <w:pPr>
        <w:spacing w:before="60" w:after="60" w:line="240" w:lineRule="auto"/>
        <w:jc w:val="both"/>
        <w:rPr>
          <w:rFonts w:ascii="Arial" w:eastAsia="Times New Roman" w:hAnsi="Arial" w:cs="Arial"/>
          <w:sz w:val="24"/>
          <w:szCs w:val="24"/>
          <w:lang w:eastAsia="en-GB"/>
        </w:rPr>
      </w:pPr>
      <w:r>
        <w:rPr>
          <w:rStyle w:val="normaltextrun"/>
          <w:b/>
          <w:bCs/>
          <w:color w:val="000000"/>
          <w:bdr w:val="none" w:sz="0" w:space="0" w:color="auto" w:frame="1"/>
        </w:rPr>
        <w:t>Redacted under Section 40 of the FOIA</w:t>
      </w:r>
    </w:p>
    <w:p w14:paraId="7B67FE3C"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sz w:val="24"/>
          <w:szCs w:val="24"/>
          <w:lang w:eastAsia="en-GB"/>
        </w:rPr>
        <w:t xml:space="preserve">We will effectively and appropriately manage resource allocation throughout delivery through </w:t>
      </w:r>
      <w:r w:rsidRPr="005C4FAD">
        <w:rPr>
          <w:rFonts w:ascii="Arial" w:eastAsia="Times New Roman" w:hAnsi="Arial" w:cs="Arial"/>
          <w:b/>
          <w:bCs/>
          <w:sz w:val="24"/>
          <w:szCs w:val="24"/>
          <w:lang w:eastAsia="en-GB"/>
        </w:rPr>
        <w:t>close monitoring of internal resourcing</w:t>
      </w:r>
      <w:r w:rsidRPr="005C4FAD">
        <w:rPr>
          <w:rFonts w:ascii="Arial" w:eastAsia="Times New Roman" w:hAnsi="Arial" w:cs="Arial"/>
          <w:sz w:val="24"/>
          <w:szCs w:val="24"/>
          <w:lang w:eastAsia="en-GB"/>
        </w:rPr>
        <w:t>.</w:t>
      </w:r>
      <w:r w:rsidRPr="005C4FAD">
        <w:rPr>
          <w:rFonts w:ascii="Arial" w:eastAsia="Times New Roman" w:hAnsi="Arial" w:cs="Arial"/>
          <w:b/>
          <w:bCs/>
          <w:sz w:val="24"/>
          <w:szCs w:val="24"/>
          <w:lang w:eastAsia="en-GB"/>
        </w:rPr>
        <w:t xml:space="preserve"> </w:t>
      </w:r>
      <w:r w:rsidRPr="005C4FAD">
        <w:rPr>
          <w:rFonts w:ascii="Arial" w:eastAsia="Times New Roman" w:hAnsi="Arial" w:cs="Arial"/>
          <w:sz w:val="24"/>
          <w:szCs w:val="24"/>
          <w:lang w:eastAsia="en-GB"/>
        </w:rPr>
        <w:t xml:space="preserve">The project lead uses a company-wide resource management system that sets out the time commitments for all staff in the very short, medium/long term. It will identify resource constraints and efficiently find solutions. The project team assembled for this study have been included based on their availability to deliver this project against the specified timescales to the standards required. This will be closely monitored on a weekly basis and will feed directly into the risk register shared with DSIT ahead of client calls. Our </w:t>
      </w:r>
      <w:r w:rsidRPr="005C4FAD">
        <w:rPr>
          <w:rFonts w:ascii="Arial" w:eastAsia="Times New Roman" w:hAnsi="Arial" w:cs="Arial"/>
          <w:b/>
          <w:bCs/>
          <w:sz w:val="24"/>
          <w:szCs w:val="24"/>
          <w:lang w:eastAsia="en-GB"/>
        </w:rPr>
        <w:t>quality assurance processes</w:t>
      </w:r>
      <w:r w:rsidRPr="005C4FAD">
        <w:rPr>
          <w:rFonts w:ascii="Arial" w:eastAsia="Times New Roman" w:hAnsi="Arial" w:cs="Arial"/>
          <w:sz w:val="24"/>
          <w:szCs w:val="24"/>
          <w:lang w:eastAsia="en-GB"/>
        </w:rPr>
        <w:t xml:space="preserve"> are embedded in the people and team structure o to ensure clear lines of accountability and sufficient resourcing. We understand that the outputs from this evaluation may be the subject of external </w:t>
      </w:r>
      <w:proofErr w:type="gramStart"/>
      <w:r w:rsidRPr="005C4FAD">
        <w:rPr>
          <w:rFonts w:ascii="Arial" w:eastAsia="Times New Roman" w:hAnsi="Arial" w:cs="Arial"/>
          <w:sz w:val="24"/>
          <w:szCs w:val="24"/>
          <w:lang w:eastAsia="en-GB"/>
        </w:rPr>
        <w:t>scrutiny, and</w:t>
      </w:r>
      <w:proofErr w:type="gramEnd"/>
      <w:r w:rsidRPr="005C4FAD">
        <w:rPr>
          <w:rFonts w:ascii="Arial" w:eastAsia="Times New Roman" w:hAnsi="Arial" w:cs="Arial"/>
          <w:sz w:val="24"/>
          <w:szCs w:val="24"/>
          <w:lang w:eastAsia="en-GB"/>
        </w:rPr>
        <w:t xml:space="preserve"> will be used to inform potential future roll out of the programme, making it particularly important that you have full confidence in the findings. All evaluation tools, templates and outputs will go </w:t>
      </w:r>
      <w:r w:rsidRPr="005C4FAD">
        <w:rPr>
          <w:rFonts w:ascii="Arial" w:eastAsia="Times New Roman" w:hAnsi="Arial" w:cs="Arial"/>
          <w:sz w:val="24"/>
          <w:szCs w:val="24"/>
          <w:lang w:eastAsia="en-GB"/>
        </w:rPr>
        <w:lastRenderedPageBreak/>
        <w:t xml:space="preserve">through a thorough staged review process (detailed below) to ensure they are of the highest quality, represent findings accurately, and are delivered in a format that is suited to the needs of key stakeholders. Under our Business Excellence processes, every project is led by our assigned Project Director and day to day management by our Project Manager. All of our evaluation work is subject to internal review and sign-off by senior staff. Our dedicated Quality Director, (Chief Economist and Impact Evaluation Specialist) will head up the expert panel of senior evaluators. They provide external ‘check and challenge’ and peer review of methodological design, data collection materials, evaluation design, research ethics, analytical frameworks, triangulation and reporting. </w:t>
      </w:r>
    </w:p>
    <w:p w14:paraId="5F9150E3" w14:textId="77777777" w:rsidR="005C4FAD" w:rsidRPr="005C4FAD" w:rsidRDefault="005C4FAD" w:rsidP="005C4FAD">
      <w:pPr>
        <w:spacing w:before="60" w:after="60" w:line="240" w:lineRule="auto"/>
        <w:jc w:val="both"/>
        <w:rPr>
          <w:rFonts w:ascii="Arial" w:eastAsia="Times New Roman" w:hAnsi="Arial" w:cs="Arial"/>
          <w:sz w:val="24"/>
          <w:szCs w:val="24"/>
          <w:lang w:eastAsia="en-GB"/>
        </w:rPr>
      </w:pPr>
      <w:r w:rsidRPr="005C4FAD">
        <w:rPr>
          <w:rFonts w:ascii="Arial" w:eastAsia="Times New Roman" w:hAnsi="Arial" w:cs="Arial"/>
          <w:color w:val="2F469C"/>
          <w:sz w:val="24"/>
          <w:szCs w:val="24"/>
          <w:lang w:eastAsia="en-GB"/>
        </w:rPr>
        <w:t>Lessons learned and managing stakeholders</w:t>
      </w:r>
      <w:r w:rsidRPr="005C4FAD">
        <w:rPr>
          <w:rFonts w:ascii="Arial" w:eastAsia="Times New Roman" w:hAnsi="Arial" w:cs="Arial"/>
          <w:sz w:val="24"/>
          <w:szCs w:val="24"/>
          <w:lang w:eastAsia="en-GB"/>
        </w:rPr>
        <w:t xml:space="preserve">: We recognise the strategic importance of this </w:t>
      </w:r>
      <w:proofErr w:type="gramStart"/>
      <w:r w:rsidRPr="005C4FAD">
        <w:rPr>
          <w:rFonts w:ascii="Arial" w:eastAsia="Times New Roman" w:hAnsi="Arial" w:cs="Arial"/>
          <w:sz w:val="24"/>
          <w:szCs w:val="24"/>
          <w:lang w:eastAsia="en-GB"/>
        </w:rPr>
        <w:t>study, and</w:t>
      </w:r>
      <w:proofErr w:type="gramEnd"/>
      <w:r w:rsidRPr="005C4FAD">
        <w:rPr>
          <w:rFonts w:ascii="Arial" w:eastAsia="Times New Roman" w:hAnsi="Arial" w:cs="Arial"/>
          <w:sz w:val="24"/>
          <w:szCs w:val="24"/>
          <w:lang w:eastAsia="en-GB"/>
        </w:rPr>
        <w:t xml:space="preserve"> will establish effective working relationships with DSIT and key AISI stakeholders early in our work. Our detailed approach of working collaboratively with both DSIT and wider AISI stakeholders in our response to Question 4: Methodology.</w:t>
      </w:r>
    </w:p>
    <w:p w14:paraId="7133EFEC" w14:textId="68209426" w:rsidR="005C4FAD" w:rsidRDefault="005C4FAD">
      <w:r>
        <w:br w:type="page"/>
      </w:r>
    </w:p>
    <w:p w14:paraId="17864CBE" w14:textId="3701E859" w:rsidR="005C4FAD" w:rsidRDefault="005C4FAD" w:rsidP="005C4FAD">
      <w:pPr>
        <w:spacing w:before="120" w:after="240" w:line="240" w:lineRule="auto"/>
        <w:rPr>
          <w:rFonts w:ascii="Arial" w:eastAsia="Times New Roman" w:hAnsi="Arial" w:cs="Arial"/>
          <w:b/>
          <w:bCs/>
          <w:color w:val="0070C0"/>
          <w:sz w:val="24"/>
          <w:szCs w:val="24"/>
          <w:lang w:eastAsia="en-GB"/>
        </w:rPr>
      </w:pPr>
      <w:r>
        <w:rPr>
          <w:rFonts w:ascii="Arial" w:eastAsia="Times New Roman" w:hAnsi="Arial" w:cs="Arial"/>
          <w:b/>
          <w:bCs/>
          <w:color w:val="0070C0"/>
          <w:sz w:val="24"/>
          <w:szCs w:val="24"/>
          <w:lang w:eastAsia="en-GB"/>
        </w:rPr>
        <w:lastRenderedPageBreak/>
        <w:t>4. METHODOLOGY</w:t>
      </w:r>
    </w:p>
    <w:p w14:paraId="791E46BF" w14:textId="77777777" w:rsidR="005C4FAD" w:rsidRPr="005C4FAD" w:rsidRDefault="005C4FAD" w:rsidP="005C4FAD">
      <w:pPr>
        <w:keepNext/>
        <w:keepLines/>
        <w:spacing w:before="20" w:after="120" w:line="240" w:lineRule="auto"/>
        <w:outlineLvl w:val="2"/>
        <w:rPr>
          <w:rFonts w:ascii="Arial" w:eastAsia="Times New Roman" w:hAnsi="Arial" w:cs="Arial"/>
          <w:bCs/>
          <w:sz w:val="24"/>
          <w:szCs w:val="24"/>
          <w:lang w:eastAsia="en-GB"/>
        </w:rPr>
      </w:pPr>
      <w:r w:rsidRPr="005C4FAD">
        <w:rPr>
          <w:rFonts w:ascii="Arial" w:eastAsia="Times New Roman" w:hAnsi="Arial" w:cs="Arial"/>
          <w:b/>
          <w:color w:val="2F469C"/>
          <w:sz w:val="24"/>
          <w:szCs w:val="24"/>
          <w:lang w:eastAsia="en-GB"/>
        </w:rPr>
        <w:t xml:space="preserve">Aims and objectives of the evaluation: </w:t>
      </w:r>
      <w:r w:rsidRPr="005C4FAD">
        <w:rPr>
          <w:rFonts w:ascii="Arial" w:eastAsia="Times New Roman" w:hAnsi="Arial" w:cs="Arial"/>
          <w:bCs/>
          <w:sz w:val="24"/>
          <w:szCs w:val="24"/>
          <w:lang w:eastAsia="en-GB"/>
        </w:rPr>
        <w:t>The aims of this assignment are to design and, dependent on successful passing of a break clause, conduct a process and impact evaluation. Given the nascent nature of the AISI, the evaluation will aim to produce learning for the Institute on how to improve its delivery and impact within its first two years of establishment.</w:t>
      </w:r>
    </w:p>
    <w:p w14:paraId="198CF816" w14:textId="77777777" w:rsidR="005C4FAD" w:rsidRPr="005C4FAD" w:rsidRDefault="005C4FAD" w:rsidP="005C4FAD">
      <w:pPr>
        <w:keepNext/>
        <w:keepLines/>
        <w:spacing w:before="20" w:after="120" w:line="240" w:lineRule="auto"/>
        <w:outlineLvl w:val="2"/>
        <w:rPr>
          <w:rFonts w:ascii="Arial" w:eastAsia="Times New Roman" w:hAnsi="Arial" w:cs="Arial"/>
          <w:b/>
          <w:color w:val="2F469C"/>
          <w:sz w:val="24"/>
          <w:szCs w:val="24"/>
          <w:lang w:eastAsia="en-GB"/>
        </w:rPr>
      </w:pPr>
      <w:r w:rsidRPr="005C4FAD">
        <w:rPr>
          <w:rFonts w:ascii="Arial" w:eastAsia="Times New Roman" w:hAnsi="Arial" w:cs="Arial"/>
          <w:b/>
          <w:color w:val="2F469C"/>
          <w:sz w:val="24"/>
          <w:szCs w:val="24"/>
          <w:lang w:eastAsia="en-GB"/>
        </w:rPr>
        <w:t xml:space="preserve">High level project plan </w:t>
      </w:r>
    </w:p>
    <w:p w14:paraId="501630A5" w14:textId="77777777" w:rsidR="005C4FAD" w:rsidRPr="005C4FAD" w:rsidRDefault="005C4FAD" w:rsidP="005C4FAD">
      <w:pPr>
        <w:spacing w:before="20" w:after="20" w:line="240" w:lineRule="auto"/>
        <w:rPr>
          <w:rFonts w:ascii="Arial" w:eastAsia="Times New Roman" w:hAnsi="Arial" w:cs="Arial"/>
          <w:color w:val="000000"/>
          <w:sz w:val="24"/>
          <w:szCs w:val="24"/>
          <w:lang w:eastAsia="en-GB"/>
        </w:rPr>
      </w:pPr>
      <w:r w:rsidRPr="005C4FAD">
        <w:rPr>
          <w:rFonts w:ascii="Arial" w:eastAsia="Times New Roman" w:hAnsi="Arial" w:cs="Arial"/>
          <w:noProof/>
          <w:color w:val="000000"/>
          <w:sz w:val="24"/>
          <w:szCs w:val="24"/>
          <w:lang w:eastAsia="en-GB"/>
        </w:rPr>
        <w:drawing>
          <wp:inline distT="0" distB="0" distL="0" distR="0" wp14:anchorId="237260D9" wp14:editId="75FA3228">
            <wp:extent cx="6413500" cy="1822450"/>
            <wp:effectExtent l="19050" t="0" r="25400" b="6350"/>
            <wp:docPr id="177145326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7E54FCCF" w14:textId="77777777" w:rsidR="005C4FAD" w:rsidRPr="005C4FAD" w:rsidRDefault="005C4FAD" w:rsidP="005C4FAD">
      <w:pPr>
        <w:keepNext/>
        <w:keepLines/>
        <w:spacing w:before="120" w:after="120" w:line="240" w:lineRule="auto"/>
        <w:outlineLvl w:val="2"/>
        <w:rPr>
          <w:rFonts w:ascii="Arial" w:eastAsia="Times New Roman" w:hAnsi="Arial" w:cs="Arial"/>
          <w:bCs/>
          <w:color w:val="2F469C"/>
          <w:sz w:val="24"/>
          <w:szCs w:val="24"/>
          <w:lang w:eastAsia="en-GB"/>
        </w:rPr>
      </w:pPr>
      <w:r w:rsidRPr="005C4FAD">
        <w:rPr>
          <w:rFonts w:ascii="Arial" w:eastAsia="Times New Roman" w:hAnsi="Arial" w:cs="Arial"/>
          <w:b/>
          <w:color w:val="2F469C"/>
          <w:sz w:val="24"/>
          <w:szCs w:val="24"/>
          <w:lang w:eastAsia="en-GB"/>
        </w:rPr>
        <w:t>Key issues influencing our proposed approach (rationale for the approach)</w:t>
      </w:r>
    </w:p>
    <w:p w14:paraId="1D738D5C"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Assessing impact and understanding the counterfactual</w:t>
      </w:r>
      <w:r w:rsidRPr="005C4FAD">
        <w:rPr>
          <w:rFonts w:ascii="Arial" w:eastAsia="Times New Roman" w:hAnsi="Arial" w:cs="Arial"/>
          <w:color w:val="000000"/>
          <w:sz w:val="24"/>
          <w:szCs w:val="24"/>
          <w:lang w:eastAsia="en-GB"/>
        </w:rPr>
        <w:t xml:space="preserve">: The AISI ultimately sets out to influence the systems and approaches to AI safety nationally and internationally. It aims to have a universal effect, which means that counterfactual approaches to assessing impact are unlikely to be appropriate / feasible. Further, the AI sector is highly complex and dynamic and there are likely to be a lot of influences on the behaviour of AISI target beneficiaries, which may render it challenging to isolate some of the potential effects of the AISI (e.g. improvements in safety). To some extent, impact will be relatively straightforward to measure where it is possible to ‘trace’ the unique outputs (e.g. evaluations, protocols, guidelines) of the Institute being used and applied by others. Other impacts might be more difficult to observe and attribution to the Institute may be more tenuous– </w:t>
      </w:r>
      <w:proofErr w:type="spellStart"/>
      <w:r w:rsidRPr="005C4FAD">
        <w:rPr>
          <w:rFonts w:ascii="Arial" w:eastAsia="Times New Roman" w:hAnsi="Arial" w:cs="Arial"/>
          <w:color w:val="000000"/>
          <w:sz w:val="24"/>
          <w:szCs w:val="24"/>
          <w:lang w:eastAsia="en-GB"/>
        </w:rPr>
        <w:t>e.g</w:t>
      </w:r>
      <w:proofErr w:type="spellEnd"/>
      <w:r w:rsidRPr="005C4FAD">
        <w:rPr>
          <w:rFonts w:ascii="Arial" w:eastAsia="Times New Roman" w:hAnsi="Arial" w:cs="Arial"/>
          <w:color w:val="000000"/>
          <w:sz w:val="24"/>
          <w:szCs w:val="24"/>
          <w:lang w:eastAsia="en-GB"/>
        </w:rPr>
        <w:t xml:space="preserve"> the Institute may facilitate information exchange and influencing global debate on AI safety, but evidence to demonstrate causality might be less strong. A theory-based approach is therefore preferably - this will allow an assessment the extent to which AISI contributed to the desired outcomes and impacts, as well as exploring in detail the mechanisms through which the Institute had the desired influence. </w:t>
      </w:r>
    </w:p>
    <w:p w14:paraId="7502B525" w14:textId="77777777" w:rsidR="005C4FAD" w:rsidRPr="005C4FAD" w:rsidRDefault="005C4FAD" w:rsidP="005C4FAD">
      <w:pPr>
        <w:spacing w:before="20" w:after="120" w:line="240" w:lineRule="auto"/>
        <w:rPr>
          <w:rFonts w:ascii="Arial" w:eastAsia="Times New Roman" w:hAnsi="Arial" w:cs="Arial"/>
          <w:color w:val="0B0C0C"/>
          <w:sz w:val="24"/>
          <w:szCs w:val="24"/>
          <w:lang w:eastAsia="en-GB"/>
        </w:rPr>
      </w:pPr>
      <w:r w:rsidRPr="005C4FAD">
        <w:rPr>
          <w:rFonts w:ascii="Arial" w:eastAsia="Times New Roman" w:hAnsi="Arial" w:cs="Arial"/>
          <w:b/>
          <w:bCs/>
          <w:color w:val="000000"/>
          <w:sz w:val="24"/>
          <w:szCs w:val="24"/>
          <w:lang w:eastAsia="en-GB"/>
        </w:rPr>
        <w:t>AISI stakeholders</w:t>
      </w:r>
      <w:r w:rsidRPr="005C4FAD">
        <w:rPr>
          <w:rFonts w:ascii="Arial" w:eastAsia="Times New Roman" w:hAnsi="Arial" w:cs="Arial"/>
          <w:color w:val="000000"/>
          <w:sz w:val="24"/>
          <w:szCs w:val="24"/>
          <w:lang w:eastAsia="en-GB"/>
        </w:rPr>
        <w:t xml:space="preserve">: The AISI is an ambitious programme with multiple direct and indirect stakeholders. It employs c100 people, has direct effects on several partners, and seeks to influence and inform (directly and indirectly) national and international stakeholders, including </w:t>
      </w:r>
      <w:r w:rsidRPr="005C4FAD">
        <w:rPr>
          <w:rFonts w:ascii="Arial" w:eastAsia="Times New Roman" w:hAnsi="Arial" w:cs="Arial"/>
          <w:color w:val="0B0C0C"/>
          <w:sz w:val="24"/>
          <w:szCs w:val="24"/>
          <w:lang w:eastAsia="en-GB"/>
        </w:rPr>
        <w:t xml:space="preserve">policymakers, academic and big tech partners, private companies, wider academia, civil society, and the broader public. To effectively assess the performance of the AISI, generate useful learning, and draw conclusions on its impact, the evaluation will need to rely heavily on consultations with a robust </w:t>
      </w:r>
      <w:r w:rsidRPr="005C4FAD">
        <w:rPr>
          <w:rFonts w:ascii="Arial" w:eastAsia="Times New Roman" w:hAnsi="Arial" w:cs="Arial"/>
          <w:color w:val="0B0C0C"/>
          <w:sz w:val="24"/>
          <w:szCs w:val="24"/>
          <w:lang w:eastAsia="en-GB"/>
        </w:rPr>
        <w:lastRenderedPageBreak/>
        <w:t>and relevant sample of: (</w:t>
      </w:r>
      <w:proofErr w:type="spellStart"/>
      <w:r w:rsidRPr="005C4FAD">
        <w:rPr>
          <w:rFonts w:ascii="Arial" w:eastAsia="Times New Roman" w:hAnsi="Arial" w:cs="Arial"/>
          <w:color w:val="0B0C0C"/>
          <w:sz w:val="24"/>
          <w:szCs w:val="24"/>
          <w:lang w:eastAsia="en-GB"/>
        </w:rPr>
        <w:t>i</w:t>
      </w:r>
      <w:proofErr w:type="spellEnd"/>
      <w:r w:rsidRPr="005C4FAD">
        <w:rPr>
          <w:rFonts w:ascii="Arial" w:eastAsia="Times New Roman" w:hAnsi="Arial" w:cs="Arial"/>
          <w:color w:val="0B0C0C"/>
          <w:sz w:val="24"/>
          <w:szCs w:val="24"/>
          <w:lang w:eastAsia="en-GB"/>
        </w:rPr>
        <w:t xml:space="preserve">) those involved in implementing AISI, (ii) those with an interest in its success (i.e. regulators, civil society organisations, and commercial and research institutes developing and promoting AI safety technology), and (iii) those directly and indirectly affected by its activities (positively and negatively), including organisations (academic and commercial) developing the </w:t>
      </w:r>
      <w:r w:rsidRPr="005C4FAD">
        <w:rPr>
          <w:rFonts w:ascii="Arial" w:eastAsia="Times New Roman" w:hAnsi="Arial" w:cs="Arial"/>
          <w:color w:val="000000"/>
          <w:sz w:val="24"/>
          <w:szCs w:val="24"/>
          <w:lang w:eastAsia="en-GB"/>
        </w:rPr>
        <w:t xml:space="preserve">next generation of foundational AI models; AI groups at large technology firms developing proprietary frontier AI models for their commercial technology stack; and companies developing AI applications in narrow use cases of most concern. This latter group of firms includes organisations developing applications in specific use cases that have high potential for harm, such as those discussed in </w:t>
      </w:r>
      <w:hyperlink r:id="rId17" w:history="1">
        <w:r w:rsidRPr="005C4FAD">
          <w:rPr>
            <w:rFonts w:ascii="Arial" w:eastAsia="Times New Roman" w:hAnsi="Arial" w:cs="Arial"/>
            <w:color w:val="2F469C"/>
            <w:sz w:val="24"/>
            <w:szCs w:val="24"/>
            <w:u w:val="single"/>
            <w:lang w:eastAsia="en-GB"/>
          </w:rPr>
          <w:t>AISI’s Frontier AI: Capabilities and Risks discussion paper</w:t>
        </w:r>
      </w:hyperlink>
      <w:r w:rsidRPr="005C4FAD">
        <w:rPr>
          <w:rFonts w:ascii="Arial" w:eastAsia="Times New Roman" w:hAnsi="Arial" w:cs="Arial"/>
          <w:color w:val="000000"/>
          <w:sz w:val="24"/>
          <w:szCs w:val="24"/>
          <w:lang w:eastAsia="en-GB"/>
        </w:rPr>
        <w:t>. Our proposed team has significant experience engaging these types of stakeholders, our detailed fieldwork approach is set out below.</w:t>
      </w:r>
    </w:p>
    <w:p w14:paraId="03EC4B86"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color w:val="000000"/>
          <w:sz w:val="24"/>
          <w:szCs w:val="24"/>
          <w:lang w:eastAsia="en-GB"/>
        </w:rPr>
        <w:t>A collaborative approach to evaluation</w:t>
      </w:r>
      <w:r w:rsidRPr="005C4FAD">
        <w:rPr>
          <w:rFonts w:ascii="Arial" w:eastAsia="Times New Roman" w:hAnsi="Arial" w:cs="Arial"/>
          <w:color w:val="000000"/>
          <w:sz w:val="24"/>
          <w:szCs w:val="24"/>
          <w:lang w:eastAsia="en-GB"/>
        </w:rPr>
        <w:t>: The AISI is in a nascent form and this evaluation represents a unique opportunity to support DSIT in refining its strategy for achieving impact and identifying the most appropriate methods for evaluating this. We also recognise that DSIT has already developed thinking on a framework (Theory of Change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and methods for the evaluation. Finally, we recognise that theory-based approaches to evaluation can suffer from a lack of transparency and confirmation bias (a tendency to confirming the prior beliefs of the core team/senior evaluators). We will therefore take a highly participatory and open approach to the evaluation design and </w:t>
      </w:r>
      <w:proofErr w:type="gramStart"/>
      <w:r w:rsidRPr="005C4FAD">
        <w:rPr>
          <w:rFonts w:ascii="Arial" w:eastAsia="Times New Roman" w:hAnsi="Arial" w:cs="Arial"/>
          <w:color w:val="000000"/>
          <w:sz w:val="24"/>
          <w:szCs w:val="24"/>
          <w:lang w:eastAsia="en-GB"/>
        </w:rPr>
        <w:t>delivery, and</w:t>
      </w:r>
      <w:proofErr w:type="gramEnd"/>
      <w:r w:rsidRPr="005C4FAD">
        <w:rPr>
          <w:rFonts w:ascii="Arial" w:eastAsia="Times New Roman" w:hAnsi="Arial" w:cs="Arial"/>
          <w:color w:val="000000"/>
          <w:sz w:val="24"/>
          <w:szCs w:val="24"/>
          <w:lang w:eastAsia="en-GB"/>
        </w:rPr>
        <w:t xml:space="preserve"> agree a method that alleviates these potential drawbacks of theory-based evaluation. We will hold four workshops with DSIT in the scoping phase of the study to refine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brainstorm opportunities for data collection and agree these, select from a longlist the methods options to cost up, and to agree the preferred approach. For all methods presented to and discussed with DSIT we will provide detailed information on the pros and cons. We will draw on the expertise of a pool of evaluation and research methods experts for this. At delivery stage, we will operate an open book approach to evidence analysis and synthesis. This will involve us sharing template frameworks for analysis in advance with DSIT. </w:t>
      </w:r>
    </w:p>
    <w:p w14:paraId="1B1A098E" w14:textId="77777777" w:rsidR="005C4FAD" w:rsidRPr="005C4FAD" w:rsidRDefault="005C4FAD" w:rsidP="005C4FAD">
      <w:pPr>
        <w:keepNext/>
        <w:keepLines/>
        <w:spacing w:before="20" w:after="120" w:line="240" w:lineRule="auto"/>
        <w:outlineLvl w:val="2"/>
        <w:rPr>
          <w:rFonts w:ascii="Arial" w:eastAsia="Times New Roman" w:hAnsi="Arial" w:cs="Arial"/>
          <w:b/>
          <w:color w:val="2F469C"/>
          <w:sz w:val="24"/>
          <w:szCs w:val="24"/>
          <w:lang w:eastAsia="en-GB"/>
        </w:rPr>
      </w:pPr>
      <w:r w:rsidRPr="005C4FAD">
        <w:rPr>
          <w:rFonts w:ascii="Arial" w:eastAsia="Times New Roman" w:hAnsi="Arial" w:cs="Arial"/>
          <w:b/>
          <w:color w:val="2F469C"/>
          <w:sz w:val="24"/>
          <w:szCs w:val="24"/>
          <w:lang w:eastAsia="en-GB"/>
        </w:rPr>
        <w:t>Our approach to each evaluation stage, including analytical approach</w:t>
      </w:r>
    </w:p>
    <w:p w14:paraId="50ED5710"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70C0"/>
          <w:sz w:val="24"/>
          <w:szCs w:val="24"/>
          <w:lang w:eastAsia="en-GB"/>
        </w:rPr>
        <w:t xml:space="preserve">Scoping phase: </w:t>
      </w:r>
      <w:r w:rsidRPr="005C4FAD">
        <w:rPr>
          <w:rFonts w:ascii="Arial" w:eastAsia="Times New Roman" w:hAnsi="Arial" w:cs="Arial"/>
          <w:color w:val="000000"/>
          <w:sz w:val="24"/>
          <w:szCs w:val="24"/>
          <w:lang w:eastAsia="en-GB"/>
        </w:rPr>
        <w:t xml:space="preserve">The ITT sets out clear expectations for the Scoping Phase. Drawing on our experience of conducting multiple other evaluations of complex interventions in dynamic policy contexts, we have set out what we consider will be the necessary activities during the scoping phase. We have assigned sufficient resource and time to this period (proposing a longer period than that suggested in the ITT) because we know that the AI landscape is </w:t>
      </w:r>
      <w:proofErr w:type="gramStart"/>
      <w:r w:rsidRPr="005C4FAD">
        <w:rPr>
          <w:rFonts w:ascii="Arial" w:eastAsia="Times New Roman" w:hAnsi="Arial" w:cs="Arial"/>
          <w:color w:val="000000"/>
          <w:sz w:val="24"/>
          <w:szCs w:val="24"/>
          <w:lang w:eastAsia="en-GB"/>
        </w:rPr>
        <w:t>complex</w:t>
      </w:r>
      <w:proofErr w:type="gramEnd"/>
      <w:r w:rsidRPr="005C4FAD">
        <w:rPr>
          <w:rFonts w:ascii="Arial" w:eastAsia="Times New Roman" w:hAnsi="Arial" w:cs="Arial"/>
          <w:color w:val="000000"/>
          <w:sz w:val="24"/>
          <w:szCs w:val="24"/>
          <w:lang w:eastAsia="en-GB"/>
        </w:rPr>
        <w:t xml:space="preserve"> and it will require time and thought to develop an appropriate framework. Throughout this proposal we have maximised the opportunities for collaborative evaluation design with DSIT, through workshops/meetings and the sharing of Evaluation Plan components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evidence plan, engagement plan, etc.) as they are developed. The key activities are described below. </w:t>
      </w:r>
    </w:p>
    <w:p w14:paraId="3C31EFC8"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lastRenderedPageBreak/>
        <w:t xml:space="preserve">A. Familiarisation: </w:t>
      </w:r>
      <w:r w:rsidRPr="005C4FAD">
        <w:rPr>
          <w:rFonts w:ascii="Arial" w:eastAsia="Times New Roman" w:hAnsi="Arial" w:cs="Arial"/>
          <w:color w:val="000000"/>
          <w:sz w:val="24"/>
          <w:szCs w:val="24"/>
          <w:lang w:eastAsia="en-GB"/>
        </w:rPr>
        <w:t xml:space="preserve">We will request from DSIT the full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business plan and any other documents discussing the rationale and case for AISI, M&amp;E plan and any other core documents that set out the scope and strategy of the AISI. We will also review all AISI progress reports to build up an initial understanding of the Institute and its performance to date. We will discuss with DSIT in the inception meeting the most appropriate people (up to ten) to speak to understand: AISI strategy and scope, its progress, the wider AI safety landscape, challenges faced, expectations for the evaluation, and potential evaluation evidence sources. The findings from these interviews will inform the evaluation design. We currently consider that it will be necessary for us to speak to both AISI-internal and a couple of external experts to understand wider AI landscape. For example, we could draw upon our existing networks and links to organisations such as Alan Turing and Ada Lovelace Institutes for this.</w:t>
      </w:r>
    </w:p>
    <w:p w14:paraId="62C8A5DE"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B. </w:t>
      </w:r>
      <w:proofErr w:type="spellStart"/>
      <w:r w:rsidRPr="005C4FAD">
        <w:rPr>
          <w:rFonts w:ascii="Arial" w:eastAsia="Times New Roman" w:hAnsi="Arial" w:cs="Arial"/>
          <w:b/>
          <w:bCs/>
          <w:color w:val="000000"/>
          <w:sz w:val="24"/>
          <w:szCs w:val="24"/>
          <w:lang w:eastAsia="en-GB"/>
        </w:rPr>
        <w:t>ToC</w:t>
      </w:r>
      <w:proofErr w:type="spellEnd"/>
      <w:r w:rsidRPr="005C4FAD">
        <w:rPr>
          <w:rFonts w:ascii="Arial" w:eastAsia="Times New Roman" w:hAnsi="Arial" w:cs="Arial"/>
          <w:b/>
          <w:bCs/>
          <w:color w:val="000000"/>
          <w:sz w:val="24"/>
          <w:szCs w:val="24"/>
          <w:lang w:eastAsia="en-GB"/>
        </w:rPr>
        <w:t xml:space="preserve"> development: </w:t>
      </w:r>
      <w:r w:rsidRPr="005C4FAD">
        <w:rPr>
          <w:rFonts w:ascii="Arial" w:eastAsia="Times New Roman" w:hAnsi="Arial" w:cs="Arial"/>
          <w:color w:val="000000"/>
          <w:sz w:val="24"/>
          <w:szCs w:val="24"/>
          <w:lang w:eastAsia="en-GB"/>
        </w:rPr>
        <w:t xml:space="preserve">We will assess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for the AISI for: (1) Its evaluability, (2) its alignment with what key stakeholders have stated is their understanding of the AISI strategy in familiarisation interviews, and (3) our understanding of the wider AI context and other influencing factors in it. Evaluability (</w:t>
      </w:r>
      <w:hyperlink r:id="rId18" w:history="1">
        <w:r w:rsidRPr="005C4FAD">
          <w:rPr>
            <w:rFonts w:ascii="Arial" w:eastAsia="Times New Roman" w:hAnsi="Arial" w:cs="Arial"/>
            <w:color w:val="2F469C"/>
            <w:sz w:val="24"/>
            <w:szCs w:val="24"/>
            <w:u w:val="single"/>
            <w:lang w:eastAsia="en-GB"/>
          </w:rPr>
          <w:t>Davies 2013</w:t>
        </w:r>
      </w:hyperlink>
      <w:r w:rsidRPr="005C4FAD">
        <w:rPr>
          <w:rFonts w:ascii="Arial" w:eastAsia="Times New Roman" w:hAnsi="Arial" w:cs="Arial"/>
          <w:color w:val="000000"/>
          <w:sz w:val="24"/>
          <w:szCs w:val="24"/>
          <w:lang w:eastAsia="en-GB"/>
        </w:rPr>
        <w:t xml:space="preserve">) refers to the extent to which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provides sufficient information enabling an intervention to be evaluated – for example information on causal assumptions (how the activities lead to the impacts), potential barriers and enablers, as well as clear and logical assumptions about how change will happen. Where absent, we will enhance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with our understanding of these factors and highlight gaps for discussion, as well as validation of our understanding, in a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workshop. This will be a </w:t>
      </w:r>
      <w:proofErr w:type="gramStart"/>
      <w:r w:rsidRPr="005C4FAD">
        <w:rPr>
          <w:rFonts w:ascii="Arial" w:eastAsia="Times New Roman" w:hAnsi="Arial" w:cs="Arial"/>
          <w:color w:val="000000"/>
          <w:sz w:val="24"/>
          <w:szCs w:val="24"/>
          <w:lang w:eastAsia="en-GB"/>
        </w:rPr>
        <w:t>2-3 hour</w:t>
      </w:r>
      <w:proofErr w:type="gramEnd"/>
      <w:r w:rsidRPr="005C4FAD">
        <w:rPr>
          <w:rFonts w:ascii="Arial" w:eastAsia="Times New Roman" w:hAnsi="Arial" w:cs="Arial"/>
          <w:color w:val="000000"/>
          <w:sz w:val="24"/>
          <w:szCs w:val="24"/>
          <w:lang w:eastAsia="en-GB"/>
        </w:rPr>
        <w:t xml:space="preserve"> meeting with 5-10 people responsible for designing and delivering the AISI (where possible) and the output will be an agreed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to be written up in detail as the core framework for the evaluation. In parallel to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we will develop an AISI delivery</w:t>
      </w:r>
      <w:r w:rsidRPr="005C4FAD">
        <w:rPr>
          <w:rFonts w:ascii="Arial" w:eastAsia="Times New Roman" w:hAnsi="Arial" w:cs="Arial"/>
          <w:b/>
          <w:bCs/>
          <w:color w:val="000000"/>
          <w:sz w:val="24"/>
          <w:szCs w:val="24"/>
          <w:lang w:eastAsia="en-GB"/>
        </w:rPr>
        <w:t xml:space="preserve"> process map</w:t>
      </w:r>
      <w:r w:rsidRPr="005C4FAD">
        <w:rPr>
          <w:rFonts w:ascii="Arial" w:eastAsia="Times New Roman" w:hAnsi="Arial" w:cs="Arial"/>
          <w:color w:val="000000"/>
          <w:sz w:val="24"/>
          <w:szCs w:val="24"/>
          <w:lang w:eastAsia="en-GB"/>
        </w:rPr>
        <w:t xml:space="preserve"> covering all AISI delivery and governance activities, who is involved in them and how they interdepend.</w:t>
      </w:r>
    </w:p>
    <w:p w14:paraId="46902A29"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C. Systems mapping: </w:t>
      </w:r>
      <w:r w:rsidRPr="005C4FAD">
        <w:rPr>
          <w:rFonts w:ascii="Arial" w:eastAsia="Times New Roman" w:hAnsi="Arial" w:cs="Arial"/>
          <w:color w:val="000000"/>
          <w:sz w:val="24"/>
          <w:szCs w:val="24"/>
          <w:lang w:eastAsia="en-GB"/>
        </w:rPr>
        <w:t xml:space="preserve">Alongside the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we will map out the broader system of the AI sector and activity on AI in terms of the core aspects of (and risks to) safety when using AI, events and developments in AI safety, stakeholders involved in supporting, promoting and creating risks for AI safety, and influences on AI safety. This will involve us reviewing literature on the AI landscape, including resources such as </w:t>
      </w:r>
      <w:hyperlink r:id="rId19" w:history="1">
        <w:r w:rsidRPr="005C4FAD">
          <w:rPr>
            <w:rFonts w:ascii="Arial" w:eastAsia="Times New Roman" w:hAnsi="Arial" w:cs="Arial"/>
            <w:color w:val="2F469C"/>
            <w:sz w:val="24"/>
            <w:szCs w:val="24"/>
            <w:u w:val="single"/>
            <w:lang w:eastAsia="en-GB"/>
          </w:rPr>
          <w:t>Whitehouse’s Global Regulatory Tracker</w:t>
        </w:r>
      </w:hyperlink>
      <w:r w:rsidRPr="005C4FAD">
        <w:rPr>
          <w:rFonts w:ascii="Arial" w:eastAsia="Times New Roman" w:hAnsi="Arial" w:cs="Arial"/>
          <w:color w:val="000000"/>
          <w:sz w:val="24"/>
          <w:szCs w:val="24"/>
          <w:lang w:eastAsia="en-GB"/>
        </w:rPr>
        <w:t xml:space="preserve">. We will also use as a starting point lists of experts involved in AI safety e.g. the </w:t>
      </w:r>
      <w:hyperlink r:id="rId20" w:history="1">
        <w:r w:rsidRPr="005C4FAD">
          <w:rPr>
            <w:rFonts w:ascii="Arial" w:eastAsia="Times New Roman" w:hAnsi="Arial" w:cs="Arial"/>
            <w:color w:val="2F469C"/>
            <w:sz w:val="24"/>
            <w:szCs w:val="24"/>
            <w:u w:val="single"/>
            <w:lang w:eastAsia="en-GB"/>
          </w:rPr>
          <w:t>Advanced AI Safety Expert Advisory Panel</w:t>
        </w:r>
      </w:hyperlink>
      <w:r w:rsidRPr="005C4FAD">
        <w:rPr>
          <w:rFonts w:ascii="Arial" w:eastAsia="Times New Roman" w:hAnsi="Arial" w:cs="Arial"/>
          <w:color w:val="000000"/>
          <w:sz w:val="24"/>
          <w:szCs w:val="24"/>
          <w:lang w:eastAsia="en-GB"/>
        </w:rPr>
        <w:t xml:space="preserve">. We will also draw upon systems and complexity theory (see e.g. </w:t>
      </w:r>
      <w:hyperlink r:id="rId21" w:history="1">
        <w:r w:rsidRPr="005C4FAD">
          <w:rPr>
            <w:rFonts w:ascii="Arial" w:eastAsia="Times New Roman" w:hAnsi="Arial" w:cs="Arial"/>
            <w:color w:val="2F469C"/>
            <w:sz w:val="24"/>
            <w:szCs w:val="24"/>
            <w:u w:val="single"/>
            <w:lang w:eastAsia="en-GB"/>
          </w:rPr>
          <w:t>CECAN 2018</w:t>
        </w:r>
      </w:hyperlink>
      <w:r w:rsidRPr="005C4FAD">
        <w:rPr>
          <w:rFonts w:ascii="Arial" w:eastAsia="Times New Roman" w:hAnsi="Arial" w:cs="Arial"/>
          <w:color w:val="000000"/>
          <w:sz w:val="24"/>
          <w:szCs w:val="24"/>
          <w:lang w:eastAsia="en-GB"/>
        </w:rPr>
        <w:t xml:space="preserve">) to critically consider how AI safety (risks and improvements) may evolve over time outside of the intentions and influences of humans, e.g. where there is adaptation (AI self-regulates and mitigates safety risks), tipping points (where a critical mass of change either positively or negatively in the direction of AI makes it either safer or less safe and the effects of interventions such as AISI are difficult to isolate), or emergence (the introduction of a previously-unanticipated event). By considering how change might occur at the outset of the </w:t>
      </w:r>
      <w:proofErr w:type="gramStart"/>
      <w:r w:rsidRPr="005C4FAD">
        <w:rPr>
          <w:rFonts w:ascii="Arial" w:eastAsia="Times New Roman" w:hAnsi="Arial" w:cs="Arial"/>
          <w:color w:val="000000"/>
          <w:sz w:val="24"/>
          <w:szCs w:val="24"/>
          <w:lang w:eastAsia="en-GB"/>
        </w:rPr>
        <w:t>evaluation, and</w:t>
      </w:r>
      <w:proofErr w:type="gramEnd"/>
      <w:r w:rsidRPr="005C4FAD">
        <w:rPr>
          <w:rFonts w:ascii="Arial" w:eastAsia="Times New Roman" w:hAnsi="Arial" w:cs="Arial"/>
          <w:color w:val="000000"/>
          <w:sz w:val="24"/>
          <w:szCs w:val="24"/>
          <w:lang w:eastAsia="en-GB"/>
        </w:rPr>
        <w:t xml:space="preserve"> discussing these with </w:t>
      </w:r>
      <w:r w:rsidRPr="005C4FAD">
        <w:rPr>
          <w:rFonts w:ascii="Arial" w:eastAsia="Times New Roman" w:hAnsi="Arial" w:cs="Arial"/>
          <w:color w:val="000000"/>
          <w:sz w:val="24"/>
          <w:szCs w:val="24"/>
          <w:lang w:eastAsia="en-GB"/>
        </w:rPr>
        <w:lastRenderedPageBreak/>
        <w:t>DSIT and other key stakeholders as part of a participatory approach to evaluation design, we will be better able to target data collection and critical thinking in delivering the process and impact evaluations.</w:t>
      </w:r>
    </w:p>
    <w:p w14:paraId="23AE520B"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D. Evidence source identification and mapping: </w:t>
      </w:r>
      <w:r w:rsidRPr="005C4FAD">
        <w:rPr>
          <w:rFonts w:ascii="Arial" w:eastAsia="Times New Roman" w:hAnsi="Arial" w:cs="Arial"/>
          <w:color w:val="000000"/>
          <w:sz w:val="24"/>
          <w:szCs w:val="24"/>
          <w:lang w:eastAsia="en-GB"/>
        </w:rPr>
        <w:t xml:space="preserve">Following the development of the systems map and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we will refine the evaluation questions and – on this basis – set out an evaluation matrix and indicator framework whereby we will map the kind of evidence we will need to answer each evaluation question and test each evaluation hypothesis. This will build upon work already been conducted by DSIT to collect programme data such as £ spend to date against core activities, details of applications for AISI R&amp;D funding, as well as details of R&amp;D projects funded, publications resulting from AISI activities, and any records of their uptake/use by relevant stakeholders, international agreements, any information available on the specific skills/experience of AISI teams and members of key AISI governance and advisory bodies. We will map the secondary data we have already identified as available against each indicator and the potential limitations of that data, as well as key stakeholders we think will be relevant to consult. This will then be discussed in a workshop on opportunities for data collection with DSIT. As a result of this </w:t>
      </w:r>
      <w:proofErr w:type="gramStart"/>
      <w:r w:rsidRPr="005C4FAD">
        <w:rPr>
          <w:rFonts w:ascii="Arial" w:eastAsia="Times New Roman" w:hAnsi="Arial" w:cs="Arial"/>
          <w:color w:val="000000"/>
          <w:sz w:val="24"/>
          <w:szCs w:val="24"/>
          <w:lang w:eastAsia="en-GB"/>
        </w:rPr>
        <w:t>Task</w:t>
      </w:r>
      <w:proofErr w:type="gramEnd"/>
      <w:r w:rsidRPr="005C4FAD">
        <w:rPr>
          <w:rFonts w:ascii="Arial" w:eastAsia="Times New Roman" w:hAnsi="Arial" w:cs="Arial"/>
          <w:color w:val="000000"/>
          <w:sz w:val="24"/>
          <w:szCs w:val="24"/>
          <w:lang w:eastAsia="en-GB"/>
        </w:rPr>
        <w:t xml:space="preserve"> we will be able to produce a </w:t>
      </w:r>
      <w:r w:rsidRPr="005C4FAD">
        <w:rPr>
          <w:rFonts w:ascii="Arial" w:eastAsia="Times New Roman" w:hAnsi="Arial" w:cs="Arial"/>
          <w:color w:val="000000"/>
          <w:sz w:val="24"/>
          <w:szCs w:val="24"/>
          <w:u w:val="single"/>
          <w:lang w:eastAsia="en-GB"/>
        </w:rPr>
        <w:t>Monitoring Data Framework</w:t>
      </w:r>
      <w:r w:rsidRPr="005C4FAD">
        <w:rPr>
          <w:rFonts w:ascii="Arial" w:eastAsia="Times New Roman" w:hAnsi="Arial" w:cs="Arial"/>
          <w:color w:val="000000"/>
          <w:sz w:val="24"/>
          <w:szCs w:val="24"/>
          <w:lang w:eastAsia="en-GB"/>
        </w:rPr>
        <w:t xml:space="preserve">. </w:t>
      </w:r>
    </w:p>
    <w:p w14:paraId="718E4017" w14:textId="77777777" w:rsidR="005C4FAD" w:rsidRPr="005C4FAD" w:rsidRDefault="005C4FAD" w:rsidP="005C4FAD">
      <w:pPr>
        <w:spacing w:before="20" w:after="120" w:line="240" w:lineRule="auto"/>
        <w:rPr>
          <w:rFonts w:ascii="Arial" w:eastAsia="Times New Roman" w:hAnsi="Arial" w:cs="Arial"/>
          <w:b/>
          <w:bCs/>
          <w:color w:val="000000"/>
          <w:sz w:val="24"/>
          <w:szCs w:val="24"/>
          <w:lang w:eastAsia="en-GB"/>
        </w:rPr>
      </w:pPr>
      <w:r w:rsidRPr="005C4FAD">
        <w:rPr>
          <w:rFonts w:ascii="Arial" w:eastAsia="Times New Roman" w:hAnsi="Arial" w:cs="Arial"/>
          <w:b/>
          <w:bCs/>
          <w:color w:val="000000"/>
          <w:sz w:val="24"/>
          <w:szCs w:val="24"/>
          <w:lang w:eastAsia="en-GB"/>
        </w:rPr>
        <w:t xml:space="preserve">E. Stakeholder mapping and engagement plan: </w:t>
      </w:r>
      <w:r w:rsidRPr="005C4FAD">
        <w:rPr>
          <w:rFonts w:ascii="Arial" w:eastAsia="Times New Roman" w:hAnsi="Arial" w:cs="Arial"/>
          <w:color w:val="000000"/>
          <w:sz w:val="24"/>
          <w:szCs w:val="24"/>
          <w:lang w:eastAsia="en-GB"/>
        </w:rPr>
        <w:t xml:space="preserve">Following the workshop, we will map out the core stakeholders of the AISI, categorising them according to their degree of influence over the success of the AISI and their interest in it. Based on this mapping we will propose in a </w:t>
      </w:r>
      <w:proofErr w:type="gramStart"/>
      <w:r w:rsidRPr="005C4FAD">
        <w:rPr>
          <w:rFonts w:ascii="Arial" w:eastAsia="Times New Roman" w:hAnsi="Arial" w:cs="Arial"/>
          <w:color w:val="000000"/>
          <w:sz w:val="24"/>
          <w:szCs w:val="24"/>
          <w:lang w:eastAsia="en-GB"/>
        </w:rPr>
        <w:t>5 page</w:t>
      </w:r>
      <w:proofErr w:type="gramEnd"/>
      <w:r w:rsidRPr="005C4FAD">
        <w:rPr>
          <w:rFonts w:ascii="Arial" w:eastAsia="Times New Roman" w:hAnsi="Arial" w:cs="Arial"/>
          <w:color w:val="000000"/>
          <w:sz w:val="24"/>
          <w:szCs w:val="24"/>
          <w:lang w:eastAsia="en-GB"/>
        </w:rPr>
        <w:t xml:space="preserve"> stakeholder engagement plan, shared with DSIT, which groups we intend to consult for the evaluation and our method for engaging them to participate in the research, plus the research themes we intend to cover with them.</w:t>
      </w:r>
    </w:p>
    <w:p w14:paraId="793DB939"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F. Methods selection and design: </w:t>
      </w:r>
      <w:r w:rsidRPr="005C4FAD">
        <w:rPr>
          <w:rFonts w:ascii="Arial" w:eastAsia="Times New Roman" w:hAnsi="Arial" w:cs="Arial"/>
          <w:color w:val="000000"/>
          <w:sz w:val="24"/>
          <w:szCs w:val="24"/>
          <w:lang w:eastAsia="en-GB"/>
        </w:rPr>
        <w:t xml:space="preserve">As the culmination of these scoping activities, we will develop an appraisal of the different evaluation and data collection methods we could use to answer the evaluation questions. We will discuss these with DSIT in a third workshop with DSIT lasting 1-2 hours. At the end of the </w:t>
      </w:r>
      <w:proofErr w:type="gramStart"/>
      <w:r w:rsidRPr="005C4FAD">
        <w:rPr>
          <w:rFonts w:ascii="Arial" w:eastAsia="Times New Roman" w:hAnsi="Arial" w:cs="Arial"/>
          <w:color w:val="000000"/>
          <w:sz w:val="24"/>
          <w:szCs w:val="24"/>
          <w:lang w:eastAsia="en-GB"/>
        </w:rPr>
        <w:t>meeting</w:t>
      </w:r>
      <w:proofErr w:type="gramEnd"/>
      <w:r w:rsidRPr="005C4FAD">
        <w:rPr>
          <w:rFonts w:ascii="Arial" w:eastAsia="Times New Roman" w:hAnsi="Arial" w:cs="Arial"/>
          <w:color w:val="000000"/>
          <w:sz w:val="24"/>
          <w:szCs w:val="24"/>
          <w:lang w:eastAsia="en-GB"/>
        </w:rPr>
        <w:t xml:space="preserve"> we will have agreed upon the 2-3 methods options to cost up as part of the scoping phase. These will then be presented and discussed in a fourth </w:t>
      </w:r>
      <w:proofErr w:type="gramStart"/>
      <w:r w:rsidRPr="005C4FAD">
        <w:rPr>
          <w:rFonts w:ascii="Arial" w:eastAsia="Times New Roman" w:hAnsi="Arial" w:cs="Arial"/>
          <w:color w:val="000000"/>
          <w:sz w:val="24"/>
          <w:szCs w:val="24"/>
          <w:lang w:eastAsia="en-GB"/>
        </w:rPr>
        <w:t>1 hour</w:t>
      </w:r>
      <w:proofErr w:type="gramEnd"/>
      <w:r w:rsidRPr="005C4FAD">
        <w:rPr>
          <w:rFonts w:ascii="Arial" w:eastAsia="Times New Roman" w:hAnsi="Arial" w:cs="Arial"/>
          <w:color w:val="000000"/>
          <w:sz w:val="24"/>
          <w:szCs w:val="24"/>
          <w:lang w:eastAsia="en-GB"/>
        </w:rPr>
        <w:t xml:space="preserve"> workshop with DSIT which will result in agreement on a preferred approach that will then be developed in detail for the Final Evaluation Plan.</w:t>
      </w:r>
    </w:p>
    <w:p w14:paraId="4FF7BE1C"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G. Draft and Final Evaluation Scoping Report: </w:t>
      </w:r>
      <w:r w:rsidRPr="005C4FAD">
        <w:rPr>
          <w:rFonts w:ascii="Arial" w:eastAsia="Times New Roman" w:hAnsi="Arial" w:cs="Arial"/>
          <w:color w:val="000000"/>
          <w:sz w:val="24"/>
          <w:szCs w:val="24"/>
          <w:lang w:eastAsia="en-GB"/>
        </w:rPr>
        <w:t xml:space="preserve">In line with the ITT, we will develop a Scoping Report that brings together the outputs of and reflects the outcomes of discussions undertaken in Tasks A-F. The Report will comprehensively detail the proposed approach for analysis and data collection with timelines, risks and mitigation, costings, and ethical protocol. We have costed for up to two presentations of the Scoping Report to DSIT and cross-government stakeholders. The presentation will serve to gain additional feedback on and validation of our approach and to share the results of the scoping work, including learning about the AISI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w:t>
      </w:r>
    </w:p>
    <w:p w14:paraId="6E45227E"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70C0"/>
          <w:sz w:val="24"/>
          <w:szCs w:val="24"/>
          <w:lang w:eastAsia="en-GB"/>
        </w:rPr>
        <w:lastRenderedPageBreak/>
        <w:t xml:space="preserve">Process evaluation: </w:t>
      </w:r>
      <w:r w:rsidRPr="005C4FAD">
        <w:rPr>
          <w:rFonts w:ascii="Arial" w:eastAsia="Times New Roman" w:hAnsi="Arial" w:cs="Arial"/>
          <w:color w:val="000000"/>
          <w:sz w:val="24"/>
          <w:szCs w:val="24"/>
          <w:lang w:eastAsia="en-GB"/>
        </w:rPr>
        <w:t>The process evaluation will be predominantly covered in interim reporting, but the interim findings will be updated in the final stage (and final report) of the evaluation. Annex F of the ITT for this evaluation proposed some detailed process evaluation questions, which we have edited and organised against three key themes: relevance and coherence, efficiency and effectiveness.</w:t>
      </w:r>
    </w:p>
    <w:p w14:paraId="6D49324F" w14:textId="77777777" w:rsidR="005C4FAD" w:rsidRPr="005C4FAD" w:rsidRDefault="005C4FAD" w:rsidP="005C4FAD">
      <w:pPr>
        <w:spacing w:before="120" w:after="120" w:line="240" w:lineRule="auto"/>
        <w:rPr>
          <w:rFonts w:ascii="Arial" w:eastAsia="Arial" w:hAnsi="Arial" w:cs="Arial"/>
          <w:color w:val="000000"/>
          <w:sz w:val="24"/>
          <w:szCs w:val="24"/>
          <w:lang w:eastAsia="en-GB"/>
        </w:rPr>
      </w:pPr>
      <w:r w:rsidRPr="005C4FAD">
        <w:rPr>
          <w:rFonts w:ascii="Arial" w:eastAsia="Arial" w:hAnsi="Arial" w:cs="Arial"/>
          <w:noProof/>
          <w:color w:val="000000"/>
          <w:sz w:val="24"/>
          <w:szCs w:val="24"/>
          <w:lang w:eastAsia="en-GB"/>
        </w:rPr>
        <w:drawing>
          <wp:inline distT="0" distB="0" distL="0" distR="0" wp14:anchorId="1A6313C2" wp14:editId="65F9AA41">
            <wp:extent cx="6480175" cy="3117850"/>
            <wp:effectExtent l="0" t="0" r="0" b="6350"/>
            <wp:docPr id="109521076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10769" name="Picture 1" descr="A screenshot of a computer&#10;&#10;Description automatically generated"/>
                    <pic:cNvPicPr/>
                  </pic:nvPicPr>
                  <pic:blipFill>
                    <a:blip r:embed="rId22"/>
                    <a:stretch>
                      <a:fillRect/>
                    </a:stretch>
                  </pic:blipFill>
                  <pic:spPr>
                    <a:xfrm>
                      <a:off x="0" y="0"/>
                      <a:ext cx="6480175" cy="3117850"/>
                    </a:xfrm>
                    <a:prstGeom prst="rect">
                      <a:avLst/>
                    </a:prstGeom>
                  </pic:spPr>
                </pic:pic>
              </a:graphicData>
            </a:graphic>
          </wp:inline>
        </w:drawing>
      </w:r>
    </w:p>
    <w:p w14:paraId="2C1BE854" w14:textId="77777777" w:rsidR="005C4FAD" w:rsidRPr="005C4FAD" w:rsidRDefault="005C4FAD" w:rsidP="005C4FAD">
      <w:pPr>
        <w:spacing w:before="120" w:after="120" w:line="240" w:lineRule="auto"/>
        <w:rPr>
          <w:rFonts w:ascii="Arial" w:eastAsia="Arial" w:hAnsi="Arial" w:cs="Arial"/>
          <w:color w:val="000000"/>
          <w:sz w:val="24"/>
          <w:szCs w:val="24"/>
          <w:lang w:eastAsia="en-GB"/>
        </w:rPr>
      </w:pPr>
      <w:r w:rsidRPr="005C4FAD">
        <w:rPr>
          <w:rFonts w:ascii="Arial" w:eastAsia="Arial" w:hAnsi="Arial" w:cs="Arial"/>
          <w:color w:val="000000"/>
          <w:sz w:val="24"/>
          <w:szCs w:val="24"/>
          <w:lang w:eastAsia="en-GB"/>
        </w:rPr>
        <w:t xml:space="preserve">The process evaluation will be framed around the process map developed in Phase 1. Each process will be investigated in terms of its effectiveness, efficiency and relevance. For each process evaluation question agreed with DSIT we will set out a framework of judgement criteria for answering the question and the evidence we would need to collect. This evaluation matrix will be shared and agreed with DSIT and used to develop research tools for the process evaluation as well as the reporting structure. To develop our understanding of the scope and nature of the AISI we will also conduct a ‘portfolio analysis’ which will categorise all AISI activity alongside its intended timeframes, costs and objectives / results. This will enable us to better assess the relevance, effectiveness and efficiency of the Institute. The data sources for all analysis included in the process map and portfolio analysis will be clearly marked to ensure that the evidence is clearly referenced and traceable in evaluation reporting.     </w:t>
      </w:r>
    </w:p>
    <w:p w14:paraId="45AC9A15"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70C0"/>
          <w:sz w:val="24"/>
          <w:szCs w:val="24"/>
          <w:lang w:eastAsia="en-GB"/>
        </w:rPr>
        <w:t xml:space="preserve">Impact evaluation: </w:t>
      </w:r>
      <w:r w:rsidRPr="005C4FAD">
        <w:rPr>
          <w:rFonts w:ascii="Arial" w:eastAsia="Times New Roman" w:hAnsi="Arial" w:cs="Arial"/>
          <w:color w:val="000000"/>
          <w:sz w:val="24"/>
          <w:szCs w:val="24"/>
          <w:lang w:eastAsia="en-GB"/>
        </w:rPr>
        <w:t xml:space="preserve">An intervention is said to have achieved impact where: (1) intended change is observable over the time period before and after the intervention; (2) a causal relationship between the intervention and the observed change can be discerned; and (3) when </w:t>
      </w:r>
      <w:proofErr w:type="gramStart"/>
      <w:r w:rsidRPr="005C4FAD">
        <w:rPr>
          <w:rFonts w:ascii="Arial" w:eastAsia="Times New Roman" w:hAnsi="Arial" w:cs="Arial"/>
          <w:color w:val="000000"/>
          <w:sz w:val="24"/>
          <w:szCs w:val="24"/>
          <w:lang w:eastAsia="en-GB"/>
        </w:rPr>
        <w:t>taking into account</w:t>
      </w:r>
      <w:proofErr w:type="gramEnd"/>
      <w:r w:rsidRPr="005C4FAD">
        <w:rPr>
          <w:rFonts w:ascii="Arial" w:eastAsia="Times New Roman" w:hAnsi="Arial" w:cs="Arial"/>
          <w:color w:val="000000"/>
          <w:sz w:val="24"/>
          <w:szCs w:val="24"/>
          <w:lang w:eastAsia="en-GB"/>
        </w:rPr>
        <w:t xml:space="preserve"> other influences on the impact area, the intervention has an </w:t>
      </w:r>
      <w:r w:rsidRPr="005C4FAD">
        <w:rPr>
          <w:rFonts w:ascii="Arial" w:eastAsia="Times New Roman" w:hAnsi="Arial" w:cs="Arial"/>
          <w:i/>
          <w:iCs/>
          <w:color w:val="000000"/>
          <w:sz w:val="24"/>
          <w:szCs w:val="24"/>
          <w:lang w:eastAsia="en-GB"/>
        </w:rPr>
        <w:t>additional</w:t>
      </w:r>
      <w:r w:rsidRPr="005C4FAD">
        <w:rPr>
          <w:rFonts w:ascii="Arial" w:eastAsia="Times New Roman" w:hAnsi="Arial" w:cs="Arial"/>
          <w:color w:val="000000"/>
          <w:sz w:val="24"/>
          <w:szCs w:val="24"/>
          <w:lang w:eastAsia="en-GB"/>
        </w:rPr>
        <w:t xml:space="preserve"> influence/causative effect. Our initial thoughts on how these will be measured are set out below. The impact evaluation will utilise work defined in the Scoping Phase of: (a) the change (impact areas) that the AISI wishes </w:t>
      </w:r>
      <w:r w:rsidRPr="005C4FAD">
        <w:rPr>
          <w:rFonts w:ascii="Arial" w:eastAsia="Times New Roman" w:hAnsi="Arial" w:cs="Arial"/>
          <w:color w:val="000000"/>
          <w:sz w:val="24"/>
          <w:szCs w:val="24"/>
          <w:lang w:eastAsia="en-GB"/>
        </w:rPr>
        <w:lastRenderedPageBreak/>
        <w:t>to influence; (b) how the AISI wants to achieve this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and (c) enablers and barriers in the wider context (systems mapping). An initial proposal of evaluation questions based on the draft </w:t>
      </w:r>
      <w:proofErr w:type="spellStart"/>
      <w:r w:rsidRPr="005C4FAD">
        <w:rPr>
          <w:rFonts w:ascii="Arial" w:eastAsia="Times New Roman" w:hAnsi="Arial" w:cs="Arial"/>
          <w:color w:val="000000"/>
          <w:sz w:val="24"/>
          <w:szCs w:val="24"/>
          <w:lang w:eastAsia="en-GB"/>
        </w:rPr>
        <w:t>ToC</w:t>
      </w:r>
      <w:proofErr w:type="spellEnd"/>
      <w:r w:rsidRPr="005C4FAD">
        <w:rPr>
          <w:rFonts w:ascii="Arial" w:eastAsia="Times New Roman" w:hAnsi="Arial" w:cs="Arial"/>
          <w:color w:val="000000"/>
          <w:sz w:val="24"/>
          <w:szCs w:val="24"/>
          <w:lang w:eastAsia="en-GB"/>
        </w:rPr>
        <w:t xml:space="preserve"> in the ITT is set out in the box below.</w:t>
      </w:r>
    </w:p>
    <w:p w14:paraId="09A000FB"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noProof/>
          <w:color w:val="000000"/>
          <w:sz w:val="24"/>
          <w:szCs w:val="24"/>
          <w:lang w:eastAsia="en-GB"/>
        </w:rPr>
        <w:drawing>
          <wp:inline distT="0" distB="0" distL="0" distR="0" wp14:anchorId="360562F8" wp14:editId="07B29864">
            <wp:extent cx="5638800" cy="1849394"/>
            <wp:effectExtent l="0" t="0" r="0" b="0"/>
            <wp:docPr id="38776684"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76684" name="Picture 1" descr="A close-up of a question&#10;&#10;Description automatically generated"/>
                    <pic:cNvPicPr/>
                  </pic:nvPicPr>
                  <pic:blipFill>
                    <a:blip r:embed="rId23"/>
                    <a:stretch>
                      <a:fillRect/>
                    </a:stretch>
                  </pic:blipFill>
                  <pic:spPr>
                    <a:xfrm>
                      <a:off x="0" y="0"/>
                      <a:ext cx="5638800" cy="1849394"/>
                    </a:xfrm>
                    <a:prstGeom prst="rect">
                      <a:avLst/>
                    </a:prstGeom>
                  </pic:spPr>
                </pic:pic>
              </a:graphicData>
            </a:graphic>
          </wp:inline>
        </w:drawing>
      </w:r>
    </w:p>
    <w:p w14:paraId="5A525F7E"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 xml:space="preserve">Measuring change over time: </w:t>
      </w:r>
      <w:r w:rsidRPr="005C4FAD">
        <w:rPr>
          <w:rFonts w:ascii="Arial" w:eastAsia="Times New Roman" w:hAnsi="Arial" w:cs="Arial"/>
          <w:color w:val="000000"/>
          <w:sz w:val="24"/>
          <w:szCs w:val="24"/>
          <w:lang w:eastAsia="en-GB"/>
        </w:rPr>
        <w:t xml:space="preserve">With all impact evaluations, this should ideally be measured as the status quo in a particular impact area in real time at a timepoint prior to the launch / announcement of the intervention (i.e. before the intervention can be plausibly said to have had any influence – the </w:t>
      </w:r>
      <w:r w:rsidRPr="005C4FAD">
        <w:rPr>
          <w:rFonts w:ascii="Arial" w:eastAsia="Times New Roman" w:hAnsi="Arial" w:cs="Arial"/>
          <w:b/>
          <w:bCs/>
          <w:color w:val="000000"/>
          <w:sz w:val="24"/>
          <w:szCs w:val="24"/>
          <w:lang w:eastAsia="en-GB"/>
        </w:rPr>
        <w:t>baseline</w:t>
      </w:r>
      <w:r w:rsidRPr="005C4FAD">
        <w:rPr>
          <w:rFonts w:ascii="Arial" w:eastAsia="Times New Roman" w:hAnsi="Arial" w:cs="Arial"/>
          <w:color w:val="000000"/>
          <w:sz w:val="24"/>
          <w:szCs w:val="24"/>
          <w:lang w:eastAsia="en-GB"/>
        </w:rPr>
        <w:t xml:space="preserve">) and measuring it at relevant timepoints afterwards, comparing the ‘before’ and ‘after’ findings. In the case of AISI, the baseline is likely to be the timepoint immediately before the initiation of the AI Taskforce. However, in cases where evaluations are commissioned post-intervention (as with this one), the ‘baseline’ has to be retroactively defined through analysis of available secondary data (e.g. reports on describing the pre-July 2023 situation) and the collection of statements recalling the baseline situation from experts active in the AI sector through primary data collection (interviews, surveys, workshops). </w:t>
      </w:r>
    </w:p>
    <w:p w14:paraId="25265B76"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Measuring causation:</w:t>
      </w:r>
      <w:r w:rsidRPr="005C4FAD">
        <w:rPr>
          <w:rFonts w:ascii="Arial" w:eastAsia="Times New Roman" w:hAnsi="Arial" w:cs="Arial"/>
          <w:color w:val="000000"/>
          <w:sz w:val="24"/>
          <w:szCs w:val="24"/>
          <w:lang w:eastAsia="en-GB"/>
        </w:rPr>
        <w:t xml:space="preserve"> It is highly likely that the impact evaluation will be theory-based (see above). We currently consider the following methods will be the most relevant to consider: </w:t>
      </w:r>
    </w:p>
    <w:p w14:paraId="4B8F8CEB" w14:textId="77777777" w:rsidR="005C4FAD" w:rsidRPr="005C4FAD" w:rsidRDefault="005C4FAD" w:rsidP="005C4FAD">
      <w:pPr>
        <w:numPr>
          <w:ilvl w:val="0"/>
          <w:numId w:val="1"/>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Contribution analysis (CA)</w:t>
      </w:r>
      <w:r w:rsidRPr="005C4FAD">
        <w:rPr>
          <w:rFonts w:ascii="Arial" w:eastAsia="Times New Roman" w:hAnsi="Arial" w:cs="Arial"/>
          <w:color w:val="000000"/>
          <w:sz w:val="24"/>
          <w:szCs w:val="24"/>
          <w:lang w:eastAsia="en-GB"/>
        </w:rPr>
        <w:t xml:space="preserve">: A method based on </w:t>
      </w:r>
      <w:r w:rsidRPr="005C4FAD">
        <w:rPr>
          <w:rFonts w:ascii="Arial" w:eastAsia="Times New Roman" w:hAnsi="Arial" w:cs="Arial"/>
          <w:i/>
          <w:iCs/>
          <w:color w:val="000000"/>
          <w:sz w:val="24"/>
          <w:szCs w:val="24"/>
          <w:lang w:eastAsia="en-GB"/>
        </w:rPr>
        <w:t>generative causality</w:t>
      </w:r>
      <w:r w:rsidRPr="005C4FAD">
        <w:rPr>
          <w:rFonts w:ascii="Arial" w:eastAsia="Times New Roman" w:hAnsi="Arial" w:cs="Arial"/>
          <w:color w:val="000000"/>
          <w:sz w:val="24"/>
          <w:szCs w:val="24"/>
          <w:lang w:eastAsia="en-GB"/>
        </w:rPr>
        <w:t>, which considers causality as a chain of cause-effect events (</w:t>
      </w:r>
      <w:hyperlink r:id="rId24" w:history="1">
        <w:r w:rsidRPr="005C4FAD">
          <w:rPr>
            <w:rFonts w:ascii="Arial" w:eastAsia="Times New Roman" w:hAnsi="Arial" w:cs="Arial"/>
            <w:color w:val="2F469C"/>
            <w:sz w:val="24"/>
            <w:szCs w:val="24"/>
            <w:u w:val="single"/>
            <w:lang w:eastAsia="en-GB"/>
          </w:rPr>
          <w:t>Stern et al., 2012</w:t>
        </w:r>
      </w:hyperlink>
      <w:r w:rsidRPr="005C4FAD">
        <w:rPr>
          <w:rFonts w:ascii="Arial" w:eastAsia="Times New Roman" w:hAnsi="Arial" w:cs="Arial"/>
          <w:color w:val="000000"/>
          <w:sz w:val="24"/>
          <w:szCs w:val="24"/>
          <w:lang w:eastAsia="en-GB"/>
        </w:rPr>
        <w:t xml:space="preserve">; </w:t>
      </w:r>
      <w:hyperlink r:id="rId25" w:history="1">
        <w:r w:rsidRPr="005C4FAD">
          <w:rPr>
            <w:rFonts w:ascii="Arial" w:eastAsia="Times New Roman" w:hAnsi="Arial" w:cs="Arial"/>
            <w:color w:val="2F469C"/>
            <w:sz w:val="24"/>
            <w:szCs w:val="24"/>
            <w:u w:val="single"/>
            <w:lang w:eastAsia="en-GB"/>
          </w:rPr>
          <w:t>Mayne, 2019</w:t>
        </w:r>
      </w:hyperlink>
      <w:r w:rsidRPr="005C4FAD">
        <w:rPr>
          <w:rFonts w:ascii="Arial" w:eastAsia="Times New Roman" w:hAnsi="Arial" w:cs="Arial"/>
          <w:color w:val="000000"/>
          <w:sz w:val="24"/>
          <w:szCs w:val="24"/>
          <w:lang w:eastAsia="en-GB"/>
        </w:rPr>
        <w:t>) that can be individually tested by gathering evidence supporting/refuting their validity or existence. We would define for each intended impact of the AISI, a detailed list of causal links leading from AISI activities to the impact and, for each, what evidence we would expect to see if the causal link was valid or not. CA recognises supports exploration of the additionality of an intervention: for each causal link we would also consider what other factors might have an influence and consider the weight of this, also ensuring that the data collection tools enable us to collect evidence to test these alternative explanations. This methodological process enables the evaluator to build up a ‘story’ of the interventions contribution vis-à-vis other factors resulting in a ‘contribution claim’.</w:t>
      </w:r>
    </w:p>
    <w:p w14:paraId="5D1DDF0C" w14:textId="77777777" w:rsidR="005C4FAD" w:rsidRPr="005C4FAD" w:rsidRDefault="005C4FAD" w:rsidP="005C4FAD">
      <w:pPr>
        <w:numPr>
          <w:ilvl w:val="0"/>
          <w:numId w:val="1"/>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lastRenderedPageBreak/>
        <w:t>Process tracing (PT)</w:t>
      </w:r>
      <w:r w:rsidRPr="005C4FAD">
        <w:rPr>
          <w:rFonts w:ascii="Arial" w:eastAsia="Times New Roman" w:hAnsi="Arial" w:cs="Arial"/>
          <w:color w:val="000000"/>
          <w:sz w:val="24"/>
          <w:szCs w:val="24"/>
          <w:lang w:eastAsia="en-GB"/>
        </w:rPr>
        <w:t xml:space="preserve">: PT is another generative causality approach which can be used in conjunction with CA to provide greater transparency around how conclusions on impact have been drawn and the strength of the evaluation evidence in indicating a causal relationship. Using the hypotheses about what evidence should be observed if each causal link is true or false, four tests: </w:t>
      </w:r>
      <w:proofErr w:type="spellStart"/>
      <w:r w:rsidRPr="005C4FAD">
        <w:rPr>
          <w:rFonts w:ascii="Arial" w:eastAsia="Times New Roman" w:hAnsi="Arial" w:cs="Arial"/>
          <w:color w:val="000000"/>
          <w:sz w:val="24"/>
          <w:szCs w:val="24"/>
          <w:lang w:eastAsia="en-GB"/>
        </w:rPr>
        <w:t>i</w:t>
      </w:r>
      <w:proofErr w:type="spellEnd"/>
      <w:r w:rsidRPr="005C4FAD">
        <w:rPr>
          <w:rFonts w:ascii="Arial" w:eastAsia="Times New Roman" w:hAnsi="Arial" w:cs="Arial"/>
          <w:color w:val="000000"/>
          <w:sz w:val="24"/>
          <w:szCs w:val="24"/>
          <w:lang w:eastAsia="en-GB"/>
        </w:rPr>
        <w:t xml:space="preserve">) </w:t>
      </w:r>
      <w:r w:rsidRPr="005C4FAD">
        <w:rPr>
          <w:rFonts w:ascii="Arial" w:eastAsia="Times New Roman" w:hAnsi="Arial" w:cs="Arial"/>
          <w:i/>
          <w:iCs/>
          <w:color w:val="000000"/>
          <w:sz w:val="24"/>
          <w:szCs w:val="24"/>
          <w:lang w:eastAsia="en-GB"/>
        </w:rPr>
        <w:t>Straw in the wind tests</w:t>
      </w:r>
      <w:r w:rsidRPr="005C4FAD">
        <w:rPr>
          <w:rFonts w:ascii="Arial" w:eastAsia="Times New Roman" w:hAnsi="Arial" w:cs="Arial"/>
          <w:color w:val="000000"/>
          <w:sz w:val="24"/>
          <w:szCs w:val="24"/>
          <w:lang w:eastAsia="en-GB"/>
        </w:rPr>
        <w:t xml:space="preserve"> - provide evidence for or against a hypothesis but by themselves cannot deny it; ii) </w:t>
      </w:r>
      <w:r w:rsidRPr="005C4FAD">
        <w:rPr>
          <w:rFonts w:ascii="Arial" w:eastAsia="Times New Roman" w:hAnsi="Arial" w:cs="Arial"/>
          <w:i/>
          <w:iCs/>
          <w:color w:val="000000"/>
          <w:sz w:val="24"/>
          <w:szCs w:val="24"/>
          <w:lang w:eastAsia="en-GB"/>
        </w:rPr>
        <w:t>Hoop tests</w:t>
      </w:r>
      <w:r w:rsidRPr="005C4FAD">
        <w:rPr>
          <w:rFonts w:ascii="Arial" w:eastAsia="Times New Roman" w:hAnsi="Arial" w:cs="Arial"/>
          <w:color w:val="000000"/>
          <w:sz w:val="24"/>
          <w:szCs w:val="24"/>
          <w:lang w:eastAsia="en-GB"/>
        </w:rPr>
        <w:t xml:space="preserve"> - if passed can affirm a relevant hypothesis but cannot fully confirm it and, if failed, eliminate a hypothesis; iii) </w:t>
      </w:r>
      <w:r w:rsidRPr="005C4FAD">
        <w:rPr>
          <w:rFonts w:ascii="Arial" w:eastAsia="Times New Roman" w:hAnsi="Arial" w:cs="Arial"/>
          <w:i/>
          <w:iCs/>
          <w:color w:val="000000"/>
          <w:sz w:val="24"/>
          <w:szCs w:val="24"/>
          <w:lang w:eastAsia="en-GB"/>
        </w:rPr>
        <w:t>Smoking Gun tests</w:t>
      </w:r>
      <w:r w:rsidRPr="005C4FAD">
        <w:rPr>
          <w:rFonts w:ascii="Arial" w:eastAsia="Times New Roman" w:hAnsi="Arial" w:cs="Arial"/>
          <w:color w:val="000000"/>
          <w:sz w:val="24"/>
          <w:szCs w:val="24"/>
          <w:lang w:eastAsia="en-GB"/>
        </w:rPr>
        <w:t xml:space="preserve"> - confirm a hypothesis if passed or weaken it if failed; iv) </w:t>
      </w:r>
      <w:r w:rsidRPr="005C4FAD">
        <w:rPr>
          <w:rFonts w:ascii="Arial" w:eastAsia="Times New Roman" w:hAnsi="Arial" w:cs="Arial"/>
          <w:i/>
          <w:iCs/>
          <w:color w:val="000000"/>
          <w:sz w:val="24"/>
          <w:szCs w:val="24"/>
          <w:lang w:eastAsia="en-GB"/>
        </w:rPr>
        <w:t>Doubly Decisive tests</w:t>
      </w:r>
      <w:r w:rsidRPr="005C4FAD">
        <w:rPr>
          <w:rFonts w:ascii="Arial" w:eastAsia="Times New Roman" w:hAnsi="Arial" w:cs="Arial"/>
          <w:color w:val="000000"/>
          <w:sz w:val="24"/>
          <w:szCs w:val="24"/>
          <w:lang w:eastAsia="en-GB"/>
        </w:rPr>
        <w:t xml:space="preserve"> - confirm a given hypothesis and eliminate all others. </w:t>
      </w:r>
    </w:p>
    <w:p w14:paraId="5E02BABB" w14:textId="77777777" w:rsidR="005C4FAD" w:rsidRPr="005C4FAD" w:rsidRDefault="005C4FAD" w:rsidP="005C4FAD">
      <w:pPr>
        <w:numPr>
          <w:ilvl w:val="0"/>
          <w:numId w:val="1"/>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Bayesian Updating (BU)</w:t>
      </w:r>
      <w:r w:rsidRPr="005C4FAD">
        <w:rPr>
          <w:rFonts w:ascii="Arial" w:eastAsia="Times New Roman" w:hAnsi="Arial" w:cs="Arial"/>
          <w:color w:val="000000"/>
          <w:sz w:val="24"/>
          <w:szCs w:val="24"/>
          <w:lang w:eastAsia="en-GB"/>
        </w:rPr>
        <w:t xml:space="preserve">: BU is a method used in conjunction with CA and/or PT. BU was a method developed from decision science to counter risks of evaluators under-weighing new evidence and overweighing their prior beliefs. BU requires evaluators to assign levels of confidence to contribution claims at the framework design stage and to update these iteratively as more evidence is gathered. Its value lies in giving great transparency on prior beliefs evaluators bring to a study, and the extent to which evaluators incorporate new evidence into their evaluative judgements. </w:t>
      </w:r>
    </w:p>
    <w:p w14:paraId="29C27CF0" w14:textId="77777777" w:rsidR="005C4FAD" w:rsidRPr="005C4FAD" w:rsidRDefault="005C4FAD" w:rsidP="005C4FAD">
      <w:pPr>
        <w:numPr>
          <w:ilvl w:val="0"/>
          <w:numId w:val="1"/>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Qualitative Impact Assessment Protocol (</w:t>
      </w:r>
      <w:proofErr w:type="spellStart"/>
      <w:r w:rsidRPr="005C4FAD">
        <w:rPr>
          <w:rFonts w:ascii="Arial" w:eastAsia="Times New Roman" w:hAnsi="Arial" w:cs="Arial"/>
          <w:b/>
          <w:bCs/>
          <w:color w:val="000000"/>
          <w:sz w:val="24"/>
          <w:szCs w:val="24"/>
          <w:lang w:eastAsia="en-GB"/>
        </w:rPr>
        <w:t>QuIP</w:t>
      </w:r>
      <w:proofErr w:type="spellEnd"/>
      <w:r w:rsidRPr="005C4FAD">
        <w:rPr>
          <w:rFonts w:ascii="Arial" w:eastAsia="Times New Roman" w:hAnsi="Arial" w:cs="Arial"/>
          <w:b/>
          <w:bCs/>
          <w:color w:val="000000"/>
          <w:sz w:val="24"/>
          <w:szCs w:val="24"/>
          <w:lang w:eastAsia="en-GB"/>
        </w:rPr>
        <w:t>)</w:t>
      </w:r>
      <w:r w:rsidRPr="005C4FAD">
        <w:rPr>
          <w:rFonts w:ascii="Arial" w:eastAsia="Times New Roman" w:hAnsi="Arial" w:cs="Arial"/>
          <w:color w:val="000000"/>
          <w:sz w:val="24"/>
          <w:szCs w:val="24"/>
          <w:lang w:eastAsia="en-GB"/>
        </w:rPr>
        <w:t xml:space="preserve">: CT and PT are used to assess whether particular hypotheses generated by experts are true or false. Whilst they require evaluators to consider (and weight) alternative explanations and to systematically investigate evidence that also refutes the hypothesis, they are inductive in their approach and therefore vulnerable to optimism bias (because they limit the scope of evaluation investigation to the predefined hypotheses and therefore risk missing other causal explanations). QUIP is a technique that can be integrated into primary data collection to first ask stakeholders to identify factors that have caused or contributed to a change in impact areas </w:t>
      </w:r>
      <w:r w:rsidRPr="005C4FAD">
        <w:rPr>
          <w:rFonts w:ascii="Arial" w:eastAsia="Times New Roman" w:hAnsi="Arial" w:cs="Arial"/>
          <w:i/>
          <w:iCs/>
          <w:color w:val="000000"/>
          <w:sz w:val="24"/>
          <w:szCs w:val="24"/>
          <w:lang w:eastAsia="en-GB"/>
        </w:rPr>
        <w:t>before</w:t>
      </w:r>
      <w:r w:rsidRPr="005C4FAD">
        <w:rPr>
          <w:rFonts w:ascii="Arial" w:eastAsia="Times New Roman" w:hAnsi="Arial" w:cs="Arial"/>
          <w:color w:val="000000"/>
          <w:sz w:val="24"/>
          <w:szCs w:val="24"/>
          <w:lang w:eastAsia="en-GB"/>
        </w:rPr>
        <w:t xml:space="preserve"> asking them for their views on the intervention. If respondents mention the project without them being directly prompted by interviewers about the programme, then this can provide credible evidence of it having a significant or notable impact. Specific measures need to be taken in </w:t>
      </w:r>
      <w:proofErr w:type="spellStart"/>
      <w:r w:rsidRPr="005C4FAD">
        <w:rPr>
          <w:rFonts w:ascii="Arial" w:eastAsia="Times New Roman" w:hAnsi="Arial" w:cs="Arial"/>
          <w:color w:val="000000"/>
          <w:sz w:val="24"/>
          <w:szCs w:val="24"/>
          <w:lang w:eastAsia="en-GB"/>
        </w:rPr>
        <w:t>QuiP</w:t>
      </w:r>
      <w:proofErr w:type="spellEnd"/>
      <w:r w:rsidRPr="005C4FAD">
        <w:rPr>
          <w:rFonts w:ascii="Arial" w:eastAsia="Times New Roman" w:hAnsi="Arial" w:cs="Arial"/>
          <w:color w:val="000000"/>
          <w:sz w:val="24"/>
          <w:szCs w:val="24"/>
          <w:lang w:eastAsia="en-GB"/>
        </w:rPr>
        <w:t xml:space="preserve"> interviews to avoid influencing the interviewee, e.g. by mentioning the intervention.</w:t>
      </w:r>
    </w:p>
    <w:p w14:paraId="253FD755" w14:textId="77777777" w:rsidR="005C4FAD" w:rsidRPr="005C4FAD" w:rsidRDefault="005C4FAD" w:rsidP="005C4FAD">
      <w:pPr>
        <w:numPr>
          <w:ilvl w:val="0"/>
          <w:numId w:val="1"/>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t>Qualitative comparative analysis</w:t>
      </w:r>
      <w:r w:rsidRPr="005C4FAD">
        <w:rPr>
          <w:rFonts w:ascii="Arial" w:eastAsia="Times New Roman" w:hAnsi="Arial" w:cs="Arial"/>
          <w:color w:val="000000"/>
          <w:sz w:val="24"/>
          <w:szCs w:val="24"/>
          <w:lang w:eastAsia="en-GB"/>
        </w:rPr>
        <w:t xml:space="preserve">: QCA provides a method for systematic comparison of particular examples (‘cases’) of the intervention’s implementation, e.g. in particular contexts, or by particular delivery partners. QCA is a very complex and time-consuming method which depends upon high volumes of data a clear set of ‘cases’ which are comparable. Given the variety of activities AISI delivers it is unlikely that we would be able to define sufficiently comparable ‘cases’ and therefore this approach is unlikely to be suitable. It is also primarily used to answer the question of ‘what works in what context’ which does not appear to be the primary research question for this impact evaluation. </w:t>
      </w:r>
    </w:p>
    <w:p w14:paraId="1D34B10C"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lastRenderedPageBreak/>
        <w:t xml:space="preserve">Assessing additionality: </w:t>
      </w:r>
      <w:r w:rsidRPr="005C4FAD">
        <w:rPr>
          <w:rFonts w:ascii="Arial" w:eastAsia="Times New Roman" w:hAnsi="Arial" w:cs="Arial"/>
          <w:color w:val="000000"/>
          <w:sz w:val="24"/>
          <w:szCs w:val="24"/>
          <w:lang w:eastAsia="en-GB"/>
        </w:rPr>
        <w:t>As described above, contribution analysis and process tracing build in systematic consideration of alternative explanations and the additionality of the intervention evaluated, which can also be complemented by QUIP techniques. In practice, this will entail identifying what other organisations and activities ongoing in the wider AI landscape might support or hinder AI Safety – e.g. actions of other national AI Safety Institutes, the actions of the market – i.e. large tech companies. These potential influencing factors would be mapped out in the Scoping Phase of the study as part of the systems mapping, and then data systematically collected on their potential influence through the data collection and analysis period.</w:t>
      </w:r>
      <w:r w:rsidRPr="005C4FAD">
        <w:rPr>
          <w:rFonts w:ascii="Arial" w:eastAsia="Times New Roman" w:hAnsi="Arial" w:cs="Arial"/>
          <w:noProof/>
          <w:color w:val="000000"/>
          <w:sz w:val="24"/>
          <w:szCs w:val="24"/>
          <w:lang w:eastAsia="en-GB"/>
        </w:rPr>
        <w:drawing>
          <wp:inline distT="0" distB="0" distL="0" distR="0" wp14:anchorId="698CF510" wp14:editId="5FA2649E">
            <wp:extent cx="5715000" cy="3937498"/>
            <wp:effectExtent l="0" t="0" r="0" b="6350"/>
            <wp:docPr id="749581403" name="Picture 1" descr="A white and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81403" name="Picture 1" descr="A white and black text on a white background&#10;&#10;Description automatically generated"/>
                    <pic:cNvPicPr/>
                  </pic:nvPicPr>
                  <pic:blipFill>
                    <a:blip r:embed="rId26"/>
                    <a:stretch>
                      <a:fillRect/>
                    </a:stretch>
                  </pic:blipFill>
                  <pic:spPr>
                    <a:xfrm>
                      <a:off x="0" y="0"/>
                      <a:ext cx="5719169" cy="3940370"/>
                    </a:xfrm>
                    <a:prstGeom prst="rect">
                      <a:avLst/>
                    </a:prstGeom>
                  </pic:spPr>
                </pic:pic>
              </a:graphicData>
            </a:graphic>
          </wp:inline>
        </w:drawing>
      </w:r>
    </w:p>
    <w:p w14:paraId="0978D2AF" w14:textId="77777777" w:rsidR="005C4FAD" w:rsidRPr="005C4FAD" w:rsidRDefault="005C4FAD" w:rsidP="005C4FAD">
      <w:pPr>
        <w:keepNext/>
        <w:keepLines/>
        <w:spacing w:before="20" w:after="120" w:line="240" w:lineRule="auto"/>
        <w:outlineLvl w:val="2"/>
        <w:rPr>
          <w:rFonts w:ascii="Arial" w:eastAsia="Times New Roman" w:hAnsi="Arial" w:cs="Arial"/>
          <w:b/>
          <w:color w:val="2F469C"/>
          <w:sz w:val="24"/>
          <w:szCs w:val="24"/>
          <w:lang w:eastAsia="en-GB"/>
        </w:rPr>
      </w:pPr>
      <w:r w:rsidRPr="005C4FAD">
        <w:rPr>
          <w:rFonts w:ascii="Arial" w:eastAsia="Times New Roman" w:hAnsi="Arial" w:cs="Arial"/>
          <w:b/>
          <w:color w:val="2F469C"/>
          <w:sz w:val="24"/>
          <w:szCs w:val="24"/>
          <w:lang w:eastAsia="en-GB"/>
        </w:rPr>
        <w:t>Proposed data collection and initial analysis</w:t>
      </w:r>
    </w:p>
    <w:p w14:paraId="7B373553"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2F469C"/>
          <w:sz w:val="24"/>
          <w:szCs w:val="24"/>
          <w:lang w:eastAsia="en-GB"/>
        </w:rPr>
        <w:t>MI and Secondary data:</w:t>
      </w:r>
      <w:r w:rsidRPr="005C4FAD">
        <w:rPr>
          <w:rFonts w:ascii="Arial" w:eastAsia="Times New Roman" w:hAnsi="Arial" w:cs="Arial"/>
          <w:color w:val="000000"/>
          <w:sz w:val="24"/>
          <w:szCs w:val="24"/>
          <w:lang w:eastAsia="en-GB"/>
        </w:rPr>
        <w:t xml:space="preserve"> Management information (MI) produced through the delivery of the AISI will be a key source of data for the evaluation. For the process evaluation, it will be critical to understand what activities and outputs have been delivered and whether these have been delivered on time and to budget. For both the process and impact study, we will review:</w:t>
      </w:r>
    </w:p>
    <w:p w14:paraId="1005A25F" w14:textId="77777777" w:rsidR="005C4FAD" w:rsidRPr="005C4FAD" w:rsidRDefault="005C4FAD" w:rsidP="005C4FAD">
      <w:pPr>
        <w:numPr>
          <w:ilvl w:val="0"/>
          <w:numId w:val="2"/>
        </w:numPr>
        <w:spacing w:before="20" w:after="120" w:line="240" w:lineRule="auto"/>
        <w:ind w:left="357" w:hanging="357"/>
        <w:contextualSpacing/>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Logs of meetings and interactions between the AISI and its partners and agreements and memoranda of understanding indicative of AISI relationship-building and influence. </w:t>
      </w:r>
    </w:p>
    <w:p w14:paraId="4332DBAC" w14:textId="77777777" w:rsidR="005C4FAD" w:rsidRPr="005C4FAD" w:rsidRDefault="005C4FAD" w:rsidP="005C4FAD">
      <w:pPr>
        <w:numPr>
          <w:ilvl w:val="0"/>
          <w:numId w:val="2"/>
        </w:numPr>
        <w:spacing w:before="20" w:after="120" w:line="240" w:lineRule="auto"/>
        <w:ind w:left="357" w:hanging="357"/>
        <w:contextualSpacing/>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lastRenderedPageBreak/>
        <w:t>Details of publications, protocols and platforms produced/published by AISI through core function 1</w:t>
      </w:r>
    </w:p>
    <w:p w14:paraId="11222210" w14:textId="77777777" w:rsidR="005C4FAD" w:rsidRPr="005C4FAD" w:rsidRDefault="005C4FAD" w:rsidP="005C4FAD">
      <w:pPr>
        <w:numPr>
          <w:ilvl w:val="0"/>
          <w:numId w:val="2"/>
        </w:numPr>
        <w:spacing w:before="20" w:after="120" w:line="240" w:lineRule="auto"/>
        <w:ind w:left="357" w:hanging="357"/>
        <w:contextualSpacing/>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Detail on research grants funded (through core function 2) including details of publications associated with grants and the amount of funding provided.</w:t>
      </w:r>
    </w:p>
    <w:p w14:paraId="65818BB7" w14:textId="77777777" w:rsidR="005C4FAD" w:rsidRPr="005C4FAD" w:rsidRDefault="005C4FAD" w:rsidP="005C4FAD">
      <w:pPr>
        <w:numPr>
          <w:ilvl w:val="0"/>
          <w:numId w:val="2"/>
        </w:numPr>
        <w:spacing w:before="20" w:after="120" w:line="240" w:lineRule="auto"/>
        <w:ind w:left="357" w:hanging="357"/>
        <w:contextualSpacing/>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Spend profile to date by AISI activity.</w:t>
      </w:r>
    </w:p>
    <w:p w14:paraId="35D9C565" w14:textId="77777777" w:rsidR="005C4FAD" w:rsidRPr="005C4FAD" w:rsidRDefault="005C4FAD" w:rsidP="005C4FAD">
      <w:pPr>
        <w:numPr>
          <w:ilvl w:val="0"/>
          <w:numId w:val="2"/>
        </w:num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Details of attendance and contributions to key conferences and events AISI (co)organised, such as the Bletchley Park and Korea AI summits.</w:t>
      </w:r>
    </w:p>
    <w:p w14:paraId="7E768C54"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We will also use AISI progress reports (public and, where possible, internal) to assess progress. We will draw upon evidence from research conducted within academia, think tanks, and by the AISI itself. This will likely require a rapid literature review of publications on topics of AI safety evaluation and risk assessment protocols, as well as wider body of AI safety research, and the extent to which AISI publications / AISI-funded publications have influenced wider debates on these issues. Whilst we don’t believe a detailed bibliometric analysis will be appropriate, we suggest a social media analysis to help assess the influence of AISI and its outputs on key debates. For this we will use our proprietary </w:t>
      </w:r>
      <w:proofErr w:type="spellStart"/>
      <w:r w:rsidRPr="005C4FAD">
        <w:rPr>
          <w:rFonts w:ascii="Arial" w:eastAsia="Times New Roman" w:hAnsi="Arial" w:cs="Arial"/>
          <w:color w:val="000000"/>
          <w:sz w:val="24"/>
          <w:szCs w:val="24"/>
          <w:lang w:eastAsia="en-GB"/>
        </w:rPr>
        <w:t>Synthesio</w:t>
      </w:r>
      <w:proofErr w:type="spellEnd"/>
      <w:r w:rsidRPr="005C4FAD">
        <w:rPr>
          <w:rFonts w:ascii="Arial" w:eastAsia="Times New Roman" w:hAnsi="Arial" w:cs="Arial"/>
          <w:color w:val="000000"/>
          <w:sz w:val="24"/>
          <w:szCs w:val="24"/>
          <w:lang w:eastAsia="en-GB"/>
        </w:rPr>
        <w:t xml:space="preserve"> software, which has the capacity to trawl social media for mentions of key words (e.g. ‘AI Safety Institute’ or names of AISI reports). </w:t>
      </w:r>
    </w:p>
    <w:p w14:paraId="24F26E26"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2F469C"/>
          <w:sz w:val="24"/>
          <w:szCs w:val="24"/>
          <w:lang w:eastAsia="en-GB"/>
        </w:rPr>
        <w:t>Primary data:</w:t>
      </w:r>
      <w:r w:rsidRPr="005C4FAD">
        <w:rPr>
          <w:rFonts w:ascii="Arial" w:eastAsia="Times New Roman" w:hAnsi="Arial" w:cs="Arial"/>
          <w:color w:val="000000"/>
          <w:sz w:val="24"/>
          <w:szCs w:val="24"/>
          <w:lang w:eastAsia="en-GB"/>
        </w:rPr>
        <w:t xml:space="preserve"> In the table at the end of this document we have mapped out the different target audiences we consider we will need to consult for the evaluation along with the number of waves, and the evaluation themes we expect we would need to cover with them. These would be additional to the scoping interviews (</w:t>
      </w:r>
      <w:proofErr w:type="spellStart"/>
      <w:r w:rsidRPr="005C4FAD">
        <w:rPr>
          <w:rFonts w:ascii="Arial" w:eastAsia="Times New Roman" w:hAnsi="Arial" w:cs="Arial"/>
          <w:color w:val="000000"/>
          <w:sz w:val="24"/>
          <w:szCs w:val="24"/>
          <w:lang w:eastAsia="en-GB"/>
        </w:rPr>
        <w:t>ivs</w:t>
      </w:r>
      <w:proofErr w:type="spellEnd"/>
      <w:r w:rsidRPr="005C4FAD">
        <w:rPr>
          <w:rFonts w:ascii="Arial" w:eastAsia="Times New Roman" w:hAnsi="Arial" w:cs="Arial"/>
          <w:color w:val="000000"/>
          <w:sz w:val="24"/>
          <w:szCs w:val="24"/>
          <w:lang w:eastAsia="en-GB"/>
        </w:rPr>
        <w:t xml:space="preserve">) conducted as part of Phase 1. Depending on the findings of the stakeholder mapping and engagement plan work in Phase 1, we may conclude with DSIT that it is appropriate to conduct some of the interviews as a group or to replace the interview with a focus group approach. Group interviews work well as a cost-saving where it is anticipated that interviewees will have a similar viewpoint and will add value by generating a more comprehensive picture (e.g. by gap-filling facts). Focus group discussions work well where interaction between attendees generates discussion and highlights differences of views between members of a stakeholder </w:t>
      </w:r>
      <w:proofErr w:type="gramStart"/>
      <w:r w:rsidRPr="005C4FAD">
        <w:rPr>
          <w:rFonts w:ascii="Arial" w:eastAsia="Times New Roman" w:hAnsi="Arial" w:cs="Arial"/>
          <w:color w:val="000000"/>
          <w:sz w:val="24"/>
          <w:szCs w:val="24"/>
          <w:lang w:eastAsia="en-GB"/>
        </w:rPr>
        <w:t>group, or</w:t>
      </w:r>
      <w:proofErr w:type="gramEnd"/>
      <w:r w:rsidRPr="005C4FAD">
        <w:rPr>
          <w:rFonts w:ascii="Arial" w:eastAsia="Times New Roman" w:hAnsi="Arial" w:cs="Arial"/>
          <w:color w:val="000000"/>
          <w:sz w:val="24"/>
          <w:szCs w:val="24"/>
          <w:lang w:eastAsia="en-GB"/>
        </w:rPr>
        <w:t xml:space="preserve"> enables them to reach consensus (where a singular conclusion is desirable for the evaluation). Depth interviews with one person provide the best method for gathering detailed information and individual perspectives. We also consider that we will need to carry out two waves of consultations with most groups except for the core AISI delivery team, to collect longitudinal data. For some group it may be sufficiently to conduct only one wave of consultations asking them about change over time. </w:t>
      </w:r>
    </w:p>
    <w:p w14:paraId="0378768F"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The table also describes the online survey which we propose conduct with personnel involved in delivering the AISI, including the taskforce research team, those conducting evaluations, and those funded to conduct foundational AI safety research into AI safety. Here a survey enables us to access a wider pool of this group than depth interviews. The survey will be accessed via an open link which we will supply to AISI to disseminate around their staff. Our initial costings for this approach do not include any mailouts to disseminate the link. Given the nature of an open link survey </w:t>
      </w:r>
      <w:r w:rsidRPr="005C4FAD">
        <w:rPr>
          <w:rFonts w:ascii="Arial" w:eastAsia="Times New Roman" w:hAnsi="Arial" w:cs="Arial"/>
          <w:color w:val="000000"/>
          <w:sz w:val="24"/>
          <w:szCs w:val="24"/>
          <w:lang w:eastAsia="en-GB"/>
        </w:rPr>
        <w:lastRenderedPageBreak/>
        <w:t xml:space="preserve">we would not be able to see those who have not completed the </w:t>
      </w:r>
      <w:proofErr w:type="gramStart"/>
      <w:r w:rsidRPr="005C4FAD">
        <w:rPr>
          <w:rFonts w:ascii="Arial" w:eastAsia="Times New Roman" w:hAnsi="Arial" w:cs="Arial"/>
          <w:color w:val="000000"/>
          <w:sz w:val="24"/>
          <w:szCs w:val="24"/>
          <w:lang w:eastAsia="en-GB"/>
        </w:rPr>
        <w:t>survey</w:t>
      </w:r>
      <w:proofErr w:type="gramEnd"/>
      <w:r w:rsidRPr="005C4FAD">
        <w:rPr>
          <w:rFonts w:ascii="Arial" w:eastAsia="Times New Roman" w:hAnsi="Arial" w:cs="Arial"/>
          <w:color w:val="000000"/>
          <w:sz w:val="24"/>
          <w:szCs w:val="24"/>
          <w:lang w:eastAsia="en-GB"/>
        </w:rPr>
        <w:t xml:space="preserve"> and which have not (unless we ask for staff member details within the survey itself). We would therefore recommend that AISI send out reminder emails to their staff, including the acknowledgement that those who have already completed the survey should ignore the email. We have anticipated that the survey would include mainly specify questions and a couple of </w:t>
      </w:r>
      <w:proofErr w:type="gramStart"/>
      <w:r w:rsidRPr="005C4FAD">
        <w:rPr>
          <w:rFonts w:ascii="Arial" w:eastAsia="Times New Roman" w:hAnsi="Arial" w:cs="Arial"/>
          <w:color w:val="000000"/>
          <w:sz w:val="24"/>
          <w:szCs w:val="24"/>
          <w:lang w:eastAsia="en-GB"/>
        </w:rPr>
        <w:t>open ended</w:t>
      </w:r>
      <w:proofErr w:type="gramEnd"/>
      <w:r w:rsidRPr="005C4FAD">
        <w:rPr>
          <w:rFonts w:ascii="Arial" w:eastAsia="Times New Roman" w:hAnsi="Arial" w:cs="Arial"/>
          <w:color w:val="000000"/>
          <w:sz w:val="24"/>
          <w:szCs w:val="24"/>
          <w:lang w:eastAsia="en-GB"/>
        </w:rPr>
        <w:t xml:space="preserve"> questions. We would expect to produce a set of data tables and an SPSS file once fieldwork has finished, and time for the research team to check these outputs.</w:t>
      </w:r>
    </w:p>
    <w:p w14:paraId="3F68FBC1"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We have also considered that an online survey might be useful for collecting data from the wider pool of AI developers and businesses (around 3000 businesses in the UK), but we understand that DSIT is already conducting research with this </w:t>
      </w:r>
      <w:proofErr w:type="gramStart"/>
      <w:r w:rsidRPr="005C4FAD">
        <w:rPr>
          <w:rFonts w:ascii="Arial" w:eastAsia="Times New Roman" w:hAnsi="Arial" w:cs="Arial"/>
          <w:color w:val="000000"/>
          <w:sz w:val="24"/>
          <w:szCs w:val="24"/>
          <w:lang w:eastAsia="en-GB"/>
        </w:rPr>
        <w:t>group, and</w:t>
      </w:r>
      <w:proofErr w:type="gramEnd"/>
      <w:r w:rsidRPr="005C4FAD">
        <w:rPr>
          <w:rFonts w:ascii="Arial" w:eastAsia="Times New Roman" w:hAnsi="Arial" w:cs="Arial"/>
          <w:color w:val="000000"/>
          <w:sz w:val="24"/>
          <w:szCs w:val="24"/>
          <w:lang w:eastAsia="en-GB"/>
        </w:rPr>
        <w:t xml:space="preserve"> would want to reserve the sample for that research without the risk of overburdening this group and exhausting the sample. </w:t>
      </w:r>
      <w:r w:rsidRPr="005C4FAD">
        <w:rPr>
          <w:rFonts w:ascii="Arial" w:eastAsia="Times New Roman" w:hAnsi="Arial" w:cs="Arial"/>
          <w:b/>
          <w:bCs/>
          <w:color w:val="000000"/>
          <w:sz w:val="24"/>
          <w:szCs w:val="24"/>
          <w:lang w:eastAsia="en-GB"/>
        </w:rPr>
        <w:t xml:space="preserve">It will be important to discuss the viability of surveying this group in the Scoping Phase. </w:t>
      </w:r>
      <w:r w:rsidRPr="005C4FAD">
        <w:rPr>
          <w:rFonts w:ascii="Arial" w:eastAsia="Times New Roman" w:hAnsi="Arial" w:cs="Arial"/>
          <w:color w:val="000000"/>
          <w:sz w:val="24"/>
          <w:szCs w:val="24"/>
          <w:lang w:eastAsia="en-GB"/>
        </w:rPr>
        <w:t>A survey of this group would add significant value in enabling us to reach a high number of these individuals. We have also proposed qualitative depths with this group. Consent for depth interviews could be gathered through a recontact question in the survey.</w:t>
      </w:r>
    </w:p>
    <w:p w14:paraId="398EF09B"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Arial" w:hAnsi="Arial" w:cs="Arial"/>
          <w:b/>
          <w:bCs/>
          <w:noProof/>
          <w:color w:val="000000"/>
          <w:sz w:val="24"/>
          <w:szCs w:val="24"/>
          <w:lang w:eastAsia="en-GB"/>
        </w:rPr>
        <w:drawing>
          <wp:anchor distT="0" distB="0" distL="114300" distR="114300" simplePos="0" relativeHeight="251658240" behindDoc="0" locked="0" layoutInCell="1" allowOverlap="1" wp14:anchorId="73FADA43" wp14:editId="79942683">
            <wp:simplePos x="0" y="0"/>
            <wp:positionH relativeFrom="page">
              <wp:posOffset>447675</wp:posOffset>
            </wp:positionH>
            <wp:positionV relativeFrom="page">
              <wp:posOffset>1581150</wp:posOffset>
            </wp:positionV>
            <wp:extent cx="6461844" cy="1075560"/>
            <wp:effectExtent l="19050" t="0" r="0" b="0"/>
            <wp:wrapSquare wrapText="bothSides"/>
            <wp:docPr id="187177942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14:sizeRelH relativeFrom="page">
              <wp14:pctWidth>0</wp14:pctWidth>
            </wp14:sizeRelH>
            <wp14:sizeRelV relativeFrom="page">
              <wp14:pctHeight>0</wp14:pctHeight>
            </wp14:sizeRelV>
          </wp:anchor>
        </w:drawing>
      </w:r>
      <w:r w:rsidRPr="005C4FAD">
        <w:rPr>
          <w:rFonts w:ascii="Arial" w:eastAsia="Times New Roman" w:hAnsi="Arial" w:cs="Arial"/>
          <w:color w:val="2F469C"/>
          <w:sz w:val="24"/>
          <w:szCs w:val="24"/>
          <w:lang w:eastAsia="en-GB"/>
        </w:rPr>
        <w:t xml:space="preserve">Overall analysis: </w:t>
      </w:r>
      <w:r w:rsidRPr="005C4FAD">
        <w:rPr>
          <w:rFonts w:ascii="Arial" w:eastAsia="Times New Roman" w:hAnsi="Arial" w:cs="Arial"/>
          <w:color w:val="000000"/>
          <w:sz w:val="24"/>
          <w:szCs w:val="24"/>
          <w:lang w:eastAsia="en-GB"/>
        </w:rPr>
        <w:t>At the beginning of the interim and final reporting phases (post-closure of fieldwork) the evaluation team will come together in two analytical sessions.</w:t>
      </w:r>
    </w:p>
    <w:p w14:paraId="3BB14DD0"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70C0"/>
          <w:sz w:val="24"/>
          <w:szCs w:val="24"/>
          <w:lang w:eastAsia="en-GB"/>
        </w:rPr>
        <w:t>Reporting and quality assurance:</w:t>
      </w:r>
      <w:r w:rsidRPr="005C4FAD">
        <w:rPr>
          <w:rFonts w:ascii="Arial" w:eastAsia="Times New Roman" w:hAnsi="Arial" w:cs="Arial"/>
          <w:color w:val="0070C0"/>
          <w:sz w:val="24"/>
          <w:szCs w:val="24"/>
          <w:lang w:eastAsia="en-GB"/>
        </w:rPr>
        <w:t xml:space="preserve"> </w:t>
      </w:r>
      <w:r w:rsidRPr="005C4FAD">
        <w:rPr>
          <w:rFonts w:ascii="Arial" w:eastAsia="Times New Roman" w:hAnsi="Arial" w:cs="Arial"/>
          <w:color w:val="000000"/>
          <w:sz w:val="24"/>
          <w:szCs w:val="24"/>
          <w:lang w:eastAsia="en-GB"/>
        </w:rPr>
        <w:t xml:space="preserve">As set out in the </w:t>
      </w:r>
      <w:proofErr w:type="gramStart"/>
      <w:r w:rsidRPr="005C4FAD">
        <w:rPr>
          <w:rFonts w:ascii="Arial" w:eastAsia="Times New Roman" w:hAnsi="Arial" w:cs="Arial"/>
          <w:color w:val="000000"/>
          <w:sz w:val="24"/>
          <w:szCs w:val="24"/>
          <w:lang w:eastAsia="en-GB"/>
        </w:rPr>
        <w:t>high level</w:t>
      </w:r>
      <w:proofErr w:type="gramEnd"/>
      <w:r w:rsidRPr="005C4FAD">
        <w:rPr>
          <w:rFonts w:ascii="Arial" w:eastAsia="Times New Roman" w:hAnsi="Arial" w:cs="Arial"/>
          <w:color w:val="000000"/>
          <w:sz w:val="24"/>
          <w:szCs w:val="24"/>
          <w:lang w:eastAsia="en-GB"/>
        </w:rPr>
        <w:t xml:space="preserve"> project plan, there will be three main deliverables (Reports) for the evaluation. In addition, and in leading up to these, we will produce and submit to DSIT several outputs. All outputs will undergo a thorough review by the Project Manager for alignment with the requirement of the activity and DSIT’s expectations, grammar, spelling, and formatting, as well as clarity of presentation. A final output check will be conducted by the Project Director. Reports that are formal deliverables will undergo a more extensive review by the Project Director of an early draft of the Report to check for structure and the direction of the narrative, of a near-final draft to check for content, argumentation and logic, and of a final version to check comments have been taken into account and quality meets DSIT and our organisation’s standards, as well as quality standards set out in the HMT </w:t>
      </w:r>
      <w:hyperlink r:id="rId32" w:history="1">
        <w:r w:rsidRPr="005C4FAD">
          <w:rPr>
            <w:rFonts w:ascii="Arial" w:eastAsia="Times New Roman" w:hAnsi="Arial" w:cs="Arial"/>
            <w:b/>
            <w:bCs/>
            <w:sz w:val="24"/>
            <w:szCs w:val="24"/>
            <w:u w:val="single"/>
            <w:lang w:eastAsia="en-GB"/>
          </w:rPr>
          <w:t>Aqua</w:t>
        </w:r>
      </w:hyperlink>
      <w:r w:rsidRPr="005C4FAD">
        <w:rPr>
          <w:rFonts w:ascii="Arial" w:eastAsia="Times New Roman" w:hAnsi="Arial" w:cs="Arial"/>
          <w:color w:val="000000"/>
          <w:sz w:val="24"/>
          <w:szCs w:val="24"/>
          <w:lang w:eastAsia="en-GB"/>
        </w:rPr>
        <w:t xml:space="preserve"> and </w:t>
      </w:r>
      <w:hyperlink r:id="rId33" w:history="1">
        <w:r w:rsidRPr="005C4FAD">
          <w:rPr>
            <w:rFonts w:ascii="Arial" w:eastAsia="Times New Roman" w:hAnsi="Arial" w:cs="Arial"/>
            <w:b/>
            <w:bCs/>
            <w:sz w:val="24"/>
            <w:szCs w:val="24"/>
            <w:u w:val="single"/>
            <w:lang w:eastAsia="en-GB"/>
          </w:rPr>
          <w:t>Magenta</w:t>
        </w:r>
      </w:hyperlink>
      <w:r w:rsidRPr="005C4FAD">
        <w:rPr>
          <w:rFonts w:ascii="Arial" w:eastAsia="Times New Roman" w:hAnsi="Arial" w:cs="Arial"/>
          <w:color w:val="000000"/>
          <w:sz w:val="24"/>
          <w:szCs w:val="24"/>
          <w:lang w:eastAsia="en-GB"/>
        </w:rPr>
        <w:t xml:space="preserve"> Books. We will arrange for additional proofreading by someone unconnected to the project. To ensure quality of evaluation and research design, we will consult with a pool of senior evaluation directors in our company on the most appropriate methods corresponding to the </w:t>
      </w:r>
      <w:r w:rsidRPr="005C4FAD">
        <w:rPr>
          <w:rFonts w:ascii="Arial" w:eastAsia="Times New Roman" w:hAnsi="Arial" w:cs="Arial"/>
          <w:color w:val="000000"/>
          <w:sz w:val="24"/>
          <w:szCs w:val="24"/>
          <w:lang w:eastAsia="en-GB"/>
        </w:rPr>
        <w:lastRenderedPageBreak/>
        <w:t>evidence we identify as available through Tasks 1A to 1E. We will use this pool as for a second quality check on our Evaluation Plan and analysis in Reports.</w:t>
      </w:r>
    </w:p>
    <w:p w14:paraId="1C0306CC" w14:textId="77777777" w:rsidR="005C4FAD" w:rsidRPr="005C4FAD" w:rsidRDefault="005C4FAD" w:rsidP="005C4FAD">
      <w:pPr>
        <w:spacing w:before="1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70C0"/>
          <w:sz w:val="24"/>
          <w:szCs w:val="24"/>
          <w:lang w:eastAsia="en-GB"/>
        </w:rPr>
        <w:t>Procedures for data security and GDPR:</w:t>
      </w:r>
      <w:r w:rsidRPr="005C4FAD">
        <w:rPr>
          <w:rFonts w:ascii="Arial" w:eastAsia="Times New Roman" w:hAnsi="Arial" w:cs="Arial"/>
          <w:color w:val="0070C0"/>
          <w:sz w:val="24"/>
          <w:szCs w:val="24"/>
          <w:lang w:eastAsia="en-GB"/>
        </w:rPr>
        <w:t xml:space="preserve"> </w:t>
      </w:r>
      <w:r w:rsidRPr="005C4FAD">
        <w:rPr>
          <w:rFonts w:ascii="Arial" w:eastAsia="Times New Roman" w:hAnsi="Arial" w:cs="Arial"/>
          <w:color w:val="000000"/>
          <w:sz w:val="24"/>
          <w:szCs w:val="24"/>
          <w:lang w:eastAsia="en-GB"/>
        </w:rPr>
        <w:t xml:space="preserve">We understand that – through the evaluation – we will potentially be party to highly commercially sensitive conversations and data-sharing, as well as personal data. As with all of our studies, we will employ our Business Excellence and Compliance systems to review risks to data protection and security, adapt our systems to reflect the bespoke needs of the study, and mitigate risk. This will involve: </w:t>
      </w:r>
    </w:p>
    <w:p w14:paraId="3B28789B" w14:textId="77777777" w:rsidR="005C4FAD" w:rsidRPr="005C4FAD" w:rsidRDefault="005C4FAD" w:rsidP="005C4FAD">
      <w:pPr>
        <w:numPr>
          <w:ilvl w:val="0"/>
          <w:numId w:val="3"/>
        </w:numPr>
        <w:spacing w:before="120" w:after="240" w:line="240" w:lineRule="auto"/>
        <w:ind w:left="714" w:hanging="357"/>
        <w:contextualSpacing/>
        <w:rPr>
          <w:rFonts w:ascii="Arial" w:eastAsia="Times New Roman" w:hAnsi="Arial" w:cs="Arial"/>
          <w:color w:val="000000"/>
          <w:sz w:val="24"/>
          <w:szCs w:val="24"/>
          <w:lang w:eastAsia="en-GB"/>
        </w:rPr>
      </w:pPr>
      <w:r w:rsidRPr="005C4FAD">
        <w:rPr>
          <w:rFonts w:ascii="Arial" w:eastAsia="Times New Roman" w:hAnsi="Arial" w:cs="Arial"/>
          <w:sz w:val="24"/>
          <w:lang w:eastAsia="en-GB"/>
        </w:rPr>
        <w:t xml:space="preserve">Developing a checklist in accordance with the legal basis for processing, agreed with clients in advance. The Data Controller will create a data flow, documenting details of processes for storage, transfer, destruction, and retention of personal data. A Data Protection Impact Assessment (DPIA) will be completed, alongside Privacy Statements for Data Subjects and templates for consent documentation. </w:t>
      </w:r>
      <w:r w:rsidRPr="005C4FAD">
        <w:rPr>
          <w:rFonts w:ascii="Arial" w:eastAsia="Times New Roman" w:hAnsi="Arial" w:cs="Arial"/>
          <w:color w:val="000000"/>
          <w:sz w:val="24"/>
          <w:szCs w:val="24"/>
          <w:lang w:eastAsia="en-GB"/>
        </w:rPr>
        <w:t>To ensure that these decisions are transparent and to demonstrate accountability, each of these elements is documented and held in the project folder for all project team members to access.</w:t>
      </w:r>
    </w:p>
    <w:p w14:paraId="1AA7AA80" w14:textId="77777777" w:rsidR="005C4FAD" w:rsidRPr="005C4FAD" w:rsidRDefault="005C4FAD" w:rsidP="005C4FAD">
      <w:pPr>
        <w:numPr>
          <w:ilvl w:val="0"/>
          <w:numId w:val="3"/>
        </w:numPr>
        <w:spacing w:before="120" w:after="240" w:line="240" w:lineRule="auto"/>
        <w:ind w:left="714" w:hanging="357"/>
        <w:contextualSpacing/>
        <w:rPr>
          <w:rFonts w:ascii="Arial" w:eastAsia="Times New Roman" w:hAnsi="Arial" w:cs="Arial"/>
          <w:sz w:val="24"/>
          <w:lang w:eastAsia="en-GB"/>
        </w:rPr>
      </w:pPr>
      <w:r w:rsidRPr="005C4FAD">
        <w:rPr>
          <w:rFonts w:ascii="Arial" w:eastAsia="Times New Roman" w:hAnsi="Arial" w:cs="Arial"/>
          <w:color w:val="000000"/>
          <w:sz w:val="24"/>
          <w:lang w:eastAsia="en-GB"/>
        </w:rPr>
        <w:t xml:space="preserve">Acquiring consent from the Data Subject to process Personal Data, including Special Categories. Before giving consent, the Data Subject is informed of exactly how their data is being handled and the purposes of the data processing. The declaration of consent is always documented/recorded – i.e. obtained in writing or electronically for the purposes of documentation (occasionally – e.g. telephone surveys – verbally). </w:t>
      </w:r>
    </w:p>
    <w:p w14:paraId="2D44C253" w14:textId="77777777" w:rsidR="005C4FAD" w:rsidRPr="005C4FAD" w:rsidRDefault="005C4FAD" w:rsidP="005C4FAD">
      <w:pPr>
        <w:numPr>
          <w:ilvl w:val="0"/>
          <w:numId w:val="3"/>
        </w:numPr>
        <w:spacing w:before="120" w:after="240" w:line="240" w:lineRule="auto"/>
        <w:ind w:left="714" w:hanging="357"/>
        <w:contextualSpacing/>
        <w:rPr>
          <w:rFonts w:ascii="Arial" w:eastAsia="Times New Roman" w:hAnsi="Arial" w:cs="Arial"/>
          <w:sz w:val="24"/>
          <w:lang w:eastAsia="en-GB"/>
        </w:rPr>
      </w:pPr>
      <w:r w:rsidRPr="005C4FAD">
        <w:rPr>
          <w:rFonts w:ascii="Arial" w:eastAsia="Times New Roman" w:hAnsi="Arial" w:cs="Arial"/>
          <w:color w:val="000000"/>
          <w:sz w:val="24"/>
          <w:lang w:eastAsia="en-GB"/>
        </w:rPr>
        <w:t>Immediate handling of data subject requests, that will not result in any disadvantage, regarding their right of access, rectification, withdrawal of consent, erasure and right to object. The Data Subjects may request information on which Personal Data relating to them have been stored, how the data was collected and for what purpose. If Personal Data is incorrect or incomplete, the Data Subject can demand that they are corrected or supplemented.</w:t>
      </w:r>
    </w:p>
    <w:p w14:paraId="41DFAB1E" w14:textId="77777777" w:rsidR="005C4FAD" w:rsidRPr="005C4FAD" w:rsidRDefault="005C4FAD" w:rsidP="005C4FAD">
      <w:pPr>
        <w:numPr>
          <w:ilvl w:val="0"/>
          <w:numId w:val="3"/>
        </w:numPr>
        <w:spacing w:before="120" w:after="240" w:line="240" w:lineRule="auto"/>
        <w:ind w:left="714" w:hanging="357"/>
        <w:contextualSpacing/>
        <w:rPr>
          <w:rFonts w:ascii="Arial" w:eastAsia="Times New Roman" w:hAnsi="Arial" w:cs="Arial"/>
          <w:sz w:val="24"/>
          <w:lang w:eastAsia="en-GB"/>
        </w:rPr>
      </w:pPr>
      <w:r w:rsidRPr="005C4FAD">
        <w:rPr>
          <w:rFonts w:ascii="Arial" w:eastAsia="Times New Roman" w:hAnsi="Arial" w:cs="Arial"/>
          <w:sz w:val="24"/>
          <w:lang w:eastAsia="en-GB"/>
        </w:rPr>
        <w:t xml:space="preserve">Storing sensitive data on our system only for as long as is necessary for the purposes of the project. We always notify research participants of the retention period for any data we collect from them. </w:t>
      </w:r>
      <w:r w:rsidRPr="005C4FAD">
        <w:rPr>
          <w:rFonts w:ascii="Arial" w:eastAsia="Times New Roman" w:hAnsi="Arial" w:cs="Arial"/>
          <w:color w:val="000000"/>
          <w:sz w:val="24"/>
          <w:lang w:eastAsia="en-GB"/>
        </w:rPr>
        <w:t xml:space="preserve">We use secure file deletion software (called </w:t>
      </w:r>
      <w:proofErr w:type="spellStart"/>
      <w:r w:rsidRPr="005C4FAD">
        <w:rPr>
          <w:rFonts w:ascii="Arial" w:eastAsia="Times New Roman" w:hAnsi="Arial" w:cs="Arial"/>
          <w:color w:val="000000"/>
          <w:sz w:val="24"/>
          <w:lang w:eastAsia="en-GB"/>
        </w:rPr>
        <w:t>Blancco</w:t>
      </w:r>
      <w:proofErr w:type="spellEnd"/>
      <w:r w:rsidRPr="005C4FAD">
        <w:rPr>
          <w:rFonts w:ascii="Arial" w:eastAsia="Times New Roman" w:hAnsi="Arial" w:cs="Arial"/>
          <w:color w:val="000000"/>
          <w:sz w:val="24"/>
          <w:lang w:eastAsia="en-GB"/>
        </w:rPr>
        <w:t xml:space="preserve">) which securely erases personal data files to global standards. Strictly Confidential paper files are shredded on-site using office shredders and then recycled. </w:t>
      </w:r>
    </w:p>
    <w:p w14:paraId="3CB463E2" w14:textId="77777777" w:rsidR="005C4FAD" w:rsidRPr="005C4FAD" w:rsidRDefault="005C4FAD" w:rsidP="005C4FAD">
      <w:pPr>
        <w:numPr>
          <w:ilvl w:val="0"/>
          <w:numId w:val="3"/>
        </w:numPr>
        <w:spacing w:before="120" w:after="120" w:line="240" w:lineRule="auto"/>
        <w:ind w:left="714" w:hanging="357"/>
        <w:rPr>
          <w:rFonts w:ascii="Arial" w:eastAsia="Times New Roman" w:hAnsi="Arial" w:cs="Arial"/>
          <w:sz w:val="24"/>
          <w:lang w:eastAsia="en-GB"/>
        </w:rPr>
      </w:pPr>
      <w:r w:rsidRPr="005C4FAD">
        <w:rPr>
          <w:rFonts w:ascii="Arial" w:eastAsia="Times New Roman" w:hAnsi="Arial" w:cs="Arial"/>
          <w:color w:val="000000"/>
          <w:sz w:val="24"/>
          <w:lang w:eastAsia="en-GB"/>
        </w:rPr>
        <w:t xml:space="preserve">Secure transferring of personal data. In accordance with company procedure, no personal data can be emailed.  Any personal data to be shared with clients must be shared via our secure data transfer portal. </w:t>
      </w:r>
    </w:p>
    <w:p w14:paraId="6F68A19A" w14:textId="77777777" w:rsidR="005C4FAD" w:rsidRPr="005C4FAD" w:rsidRDefault="005C4FAD" w:rsidP="005C4FAD">
      <w:pPr>
        <w:spacing w:before="20" w:after="120" w:line="240" w:lineRule="auto"/>
        <w:rPr>
          <w:rFonts w:ascii="Arial" w:eastAsia="Times New Roman" w:hAnsi="Arial" w:cs="Arial"/>
          <w:sz w:val="24"/>
          <w:lang w:eastAsia="en-GB"/>
        </w:rPr>
      </w:pPr>
      <w:r w:rsidRPr="005C4FAD">
        <w:rPr>
          <w:rFonts w:ascii="Arial" w:eastAsia="Times New Roman" w:hAnsi="Arial" w:cs="Arial"/>
          <w:color w:val="000000"/>
          <w:sz w:val="24"/>
          <w:lang w:eastAsia="en-GB"/>
        </w:rPr>
        <w:t>Personal Data and information will be collected, stored, transferred and processed in the UK.  However, we have put together a secure process for dealing with any instances of Personal Data transfers outside the EU should this occur. We would seek consent</w:t>
      </w:r>
      <w:r w:rsidRPr="005C4FAD">
        <w:rPr>
          <w:rFonts w:ascii="Arial" w:eastAsia="Times New Roman" w:hAnsi="Arial" w:cs="Arial"/>
          <w:b/>
          <w:bCs/>
          <w:color w:val="000000"/>
          <w:sz w:val="24"/>
          <w:lang w:eastAsia="en-GB"/>
        </w:rPr>
        <w:t xml:space="preserve"> </w:t>
      </w:r>
      <w:r w:rsidRPr="005C4FAD">
        <w:rPr>
          <w:rFonts w:ascii="Arial" w:eastAsia="Times New Roman" w:hAnsi="Arial" w:cs="Arial"/>
          <w:color w:val="000000"/>
          <w:sz w:val="24"/>
          <w:lang w:eastAsia="en-GB"/>
        </w:rPr>
        <w:t>for this before proceeding. This would be part of the project set up stage (project level data flow and the DPIA).</w:t>
      </w:r>
      <w:r w:rsidRPr="005C4FAD">
        <w:rPr>
          <w:rFonts w:ascii="Arial" w:eastAsia="Times New Roman" w:hAnsi="Arial" w:cs="Arial"/>
          <w:sz w:val="24"/>
          <w:lang w:eastAsia="en-GB"/>
        </w:rPr>
        <w:t xml:space="preserve"> Our organisation has a proprietary </w:t>
      </w:r>
      <w:r w:rsidRPr="005C4FAD">
        <w:rPr>
          <w:rFonts w:ascii="Arial" w:eastAsia="Times New Roman" w:hAnsi="Arial" w:cs="Arial"/>
          <w:color w:val="000000"/>
          <w:sz w:val="24"/>
          <w:szCs w:val="24"/>
          <w:lang w:eastAsia="en-GB"/>
        </w:rPr>
        <w:t xml:space="preserve">LLM </w:t>
      </w:r>
      <w:r w:rsidRPr="005C4FAD">
        <w:rPr>
          <w:rFonts w:ascii="Arial" w:eastAsia="Times New Roman" w:hAnsi="Arial" w:cs="Arial"/>
          <w:color w:val="000000"/>
          <w:sz w:val="24"/>
          <w:szCs w:val="24"/>
          <w:lang w:eastAsia="en-GB"/>
        </w:rPr>
        <w:lastRenderedPageBreak/>
        <w:t>used for some language processing and design activities, with the consent of our clients. It uses the best performing Google Gemini Pro LLMs which are hosted on UK and EU servers, so full compliant with any data residency restrictions.</w:t>
      </w:r>
    </w:p>
    <w:p w14:paraId="1C0C7C3F" w14:textId="77777777" w:rsidR="005C4FAD" w:rsidRPr="005C4FAD" w:rsidRDefault="005C4FAD" w:rsidP="005C4FAD">
      <w:pPr>
        <w:spacing w:before="120" w:after="120" w:line="240" w:lineRule="auto"/>
        <w:rPr>
          <w:rFonts w:ascii="Arial" w:eastAsia="Times New Roman" w:hAnsi="Arial" w:cs="Arial"/>
          <w:b/>
          <w:color w:val="000000"/>
          <w:sz w:val="24"/>
          <w:szCs w:val="24"/>
          <w:lang w:eastAsia="en-GB"/>
        </w:rPr>
      </w:pPr>
      <w:r w:rsidRPr="005C4FAD">
        <w:rPr>
          <w:rFonts w:ascii="Arial" w:eastAsia="Times New Roman" w:hAnsi="Arial" w:cs="Arial"/>
          <w:b/>
          <w:bCs/>
          <w:color w:val="0070C0"/>
          <w:sz w:val="24"/>
          <w:szCs w:val="24"/>
          <w:lang w:eastAsia="en-GB"/>
        </w:rPr>
        <w:t>Project management approach:</w:t>
      </w:r>
      <w:r w:rsidRPr="005C4FAD">
        <w:rPr>
          <w:rFonts w:ascii="Arial" w:eastAsia="Times New Roman" w:hAnsi="Arial" w:cs="Arial"/>
          <w:color w:val="0070C0"/>
          <w:sz w:val="24"/>
          <w:szCs w:val="24"/>
          <w:lang w:eastAsia="en-GB"/>
        </w:rPr>
        <w:t xml:space="preserve"> </w:t>
      </w:r>
      <w:r w:rsidRPr="005C4FAD">
        <w:rPr>
          <w:rFonts w:ascii="Arial" w:eastAsia="Times New Roman" w:hAnsi="Arial" w:cs="Arial"/>
          <w:color w:val="000000"/>
          <w:sz w:val="24"/>
          <w:szCs w:val="24"/>
          <w:lang w:eastAsia="en-GB"/>
        </w:rPr>
        <w:t xml:space="preserve">Project management will be critical to the successful delivery of the </w:t>
      </w:r>
      <w:proofErr w:type="gramStart"/>
      <w:r w:rsidRPr="005C4FAD">
        <w:rPr>
          <w:rFonts w:ascii="Arial" w:eastAsia="Times New Roman" w:hAnsi="Arial" w:cs="Arial"/>
          <w:color w:val="000000"/>
          <w:sz w:val="24"/>
          <w:szCs w:val="24"/>
          <w:lang w:eastAsia="en-GB"/>
        </w:rPr>
        <w:t>evaluation, and</w:t>
      </w:r>
      <w:proofErr w:type="gramEnd"/>
      <w:r w:rsidRPr="005C4FAD">
        <w:rPr>
          <w:rFonts w:ascii="Arial" w:eastAsia="Times New Roman" w:hAnsi="Arial" w:cs="Arial"/>
          <w:color w:val="000000"/>
          <w:sz w:val="24"/>
          <w:szCs w:val="24"/>
          <w:lang w:eastAsia="en-GB"/>
        </w:rPr>
        <w:t xml:space="preserve"> will include clear and transparent time and cost-planning for all evaluation activities. This proposal will act as the initial statement of work and be annexed to the contract with the ITT. At the beginning of the </w:t>
      </w:r>
      <w:proofErr w:type="gramStart"/>
      <w:r w:rsidRPr="005C4FAD">
        <w:rPr>
          <w:rFonts w:ascii="Arial" w:eastAsia="Times New Roman" w:hAnsi="Arial" w:cs="Arial"/>
          <w:color w:val="000000"/>
          <w:sz w:val="24"/>
          <w:szCs w:val="24"/>
          <w:lang w:eastAsia="en-GB"/>
        </w:rPr>
        <w:t>contract</w:t>
      </w:r>
      <w:proofErr w:type="gramEnd"/>
      <w:r w:rsidRPr="005C4FAD">
        <w:rPr>
          <w:rFonts w:ascii="Arial" w:eastAsia="Times New Roman" w:hAnsi="Arial" w:cs="Arial"/>
          <w:color w:val="000000"/>
          <w:sz w:val="24"/>
          <w:szCs w:val="24"/>
          <w:lang w:eastAsia="en-GB"/>
        </w:rPr>
        <w:t xml:space="preserve"> we will hold an </w:t>
      </w:r>
      <w:r w:rsidRPr="005C4FAD">
        <w:rPr>
          <w:rFonts w:ascii="Arial" w:eastAsia="Times New Roman" w:hAnsi="Arial" w:cs="Arial"/>
          <w:b/>
          <w:bCs/>
          <w:color w:val="000000"/>
          <w:sz w:val="24"/>
          <w:szCs w:val="24"/>
          <w:lang w:eastAsia="en-GB"/>
        </w:rPr>
        <w:t>inception meeting</w:t>
      </w:r>
      <w:r w:rsidRPr="005C4FAD">
        <w:rPr>
          <w:rFonts w:ascii="Arial" w:eastAsia="Times New Roman" w:hAnsi="Arial" w:cs="Arial"/>
          <w:color w:val="000000"/>
          <w:sz w:val="24"/>
          <w:szCs w:val="24"/>
          <w:lang w:eastAsia="en-GB"/>
        </w:rPr>
        <w:t xml:space="preserve"> to present this proposal and gather feedback on the approach from DSIT. Based on this feedback we propose to share with DSIT within the first week of the contract for their approval an updated </w:t>
      </w:r>
      <w:r w:rsidRPr="005C4FAD">
        <w:rPr>
          <w:rFonts w:ascii="Arial" w:eastAsia="Times New Roman" w:hAnsi="Arial" w:cs="Arial"/>
          <w:b/>
          <w:bCs/>
          <w:color w:val="000000"/>
          <w:sz w:val="24"/>
          <w:szCs w:val="24"/>
          <w:lang w:eastAsia="en-GB"/>
        </w:rPr>
        <w:t>statement of work</w:t>
      </w:r>
      <w:r w:rsidRPr="005C4FAD">
        <w:rPr>
          <w:rFonts w:ascii="Arial" w:eastAsia="Times New Roman" w:hAnsi="Arial" w:cs="Arial"/>
          <w:color w:val="000000"/>
          <w:sz w:val="24"/>
          <w:szCs w:val="24"/>
          <w:lang w:eastAsia="en-GB"/>
        </w:rPr>
        <w:t xml:space="preserve"> that incorporates the minutes of the inception meeting, DSIT feedback on the proposal and provides any immediate updates to the evaluation scope and work plan. From that moment on we will also incorporate the work plan into a </w:t>
      </w:r>
      <w:r w:rsidRPr="005C4FAD">
        <w:rPr>
          <w:rFonts w:ascii="Arial" w:eastAsia="Times New Roman" w:hAnsi="Arial" w:cs="Arial"/>
          <w:b/>
          <w:bCs/>
          <w:color w:val="000000"/>
          <w:sz w:val="24"/>
          <w:szCs w:val="24"/>
          <w:lang w:eastAsia="en-GB"/>
        </w:rPr>
        <w:t>project tracker</w:t>
      </w:r>
      <w:r w:rsidRPr="005C4FAD">
        <w:rPr>
          <w:rFonts w:ascii="Arial" w:eastAsia="Times New Roman" w:hAnsi="Arial" w:cs="Arial"/>
          <w:color w:val="000000"/>
          <w:sz w:val="24"/>
          <w:szCs w:val="24"/>
          <w:lang w:eastAsia="en-GB"/>
        </w:rPr>
        <w:t xml:space="preserve"> which is monitored on a weekly basis, including in </w:t>
      </w:r>
      <w:r w:rsidRPr="005C4FAD">
        <w:rPr>
          <w:rFonts w:ascii="Arial" w:eastAsia="Times New Roman" w:hAnsi="Arial" w:cs="Arial"/>
          <w:b/>
          <w:bCs/>
          <w:color w:val="000000"/>
          <w:sz w:val="24"/>
          <w:szCs w:val="24"/>
          <w:lang w:eastAsia="en-GB"/>
        </w:rPr>
        <w:t>weekly project management meetings</w:t>
      </w:r>
      <w:r w:rsidRPr="005C4FAD">
        <w:rPr>
          <w:rFonts w:ascii="Arial" w:eastAsia="Times New Roman" w:hAnsi="Arial" w:cs="Arial"/>
          <w:color w:val="000000"/>
          <w:sz w:val="24"/>
          <w:szCs w:val="24"/>
          <w:lang w:eastAsia="en-GB"/>
        </w:rPr>
        <w:t xml:space="preserve"> between the contractor and DSIT. The tracker will be updated weekly and a link to it highlighted in a weekly update sent to DSIT. The project tracker will reflect of the evaluation tasks and enable us to check progress in line with milestones and timelines, discuss and highlight risk and mitigation approach, and where contingency or alternative approaches might need to be brought in.</w:t>
      </w:r>
      <w:r w:rsidRPr="005C4FAD">
        <w:rPr>
          <w:rFonts w:ascii="Arial" w:eastAsia="Times New Roman" w:hAnsi="Arial" w:cs="Arial"/>
          <w:b/>
          <w:color w:val="000000"/>
          <w:sz w:val="24"/>
          <w:szCs w:val="24"/>
          <w:lang w:eastAsia="en-GB"/>
        </w:rPr>
        <w:t xml:space="preserve"> </w:t>
      </w:r>
    </w:p>
    <w:p w14:paraId="2607348F" w14:textId="77777777" w:rsidR="005C4FAD" w:rsidRPr="005C4FAD" w:rsidRDefault="005C4FAD" w:rsidP="005C4FAD">
      <w:pPr>
        <w:spacing w:before="120" w:after="120" w:line="240" w:lineRule="auto"/>
        <w:rPr>
          <w:rFonts w:ascii="Arial" w:eastAsia="Times New Roman" w:hAnsi="Arial" w:cs="Arial"/>
          <w:b/>
          <w:bCs/>
          <w:color w:val="000000"/>
          <w:sz w:val="24"/>
          <w:szCs w:val="24"/>
          <w:lang w:eastAsia="en-GB"/>
        </w:rPr>
      </w:pPr>
      <w:r w:rsidRPr="005C4FAD">
        <w:rPr>
          <w:rFonts w:ascii="Arial" w:eastAsia="Times New Roman" w:hAnsi="Arial" w:cs="Arial"/>
          <w:b/>
          <w:bCs/>
          <w:color w:val="0070C0"/>
          <w:sz w:val="24"/>
          <w:szCs w:val="24"/>
          <w:lang w:eastAsia="en-GB"/>
        </w:rPr>
        <w:t>Potential challenges and limitations of</w:t>
      </w:r>
      <w:r w:rsidRPr="005C4FAD">
        <w:rPr>
          <w:rFonts w:ascii="Arial" w:eastAsia="Times New Roman" w:hAnsi="Arial" w:cs="Arial"/>
          <w:color w:val="0070C0"/>
          <w:sz w:val="24"/>
          <w:szCs w:val="24"/>
          <w:lang w:eastAsia="en-GB"/>
        </w:rPr>
        <w:t xml:space="preserve"> the approach (</w:t>
      </w:r>
      <w:r w:rsidRPr="005C4FAD">
        <w:rPr>
          <w:rFonts w:ascii="Arial" w:eastAsia="Times New Roman" w:hAnsi="Arial" w:cs="Arial"/>
          <w:b/>
          <w:bCs/>
          <w:color w:val="0070C0"/>
          <w:sz w:val="24"/>
          <w:szCs w:val="24"/>
          <w:lang w:eastAsia="en-GB"/>
        </w:rPr>
        <w:t>methodological risks &amp; mitigation</w:t>
      </w:r>
      <w:r w:rsidRPr="005C4FAD">
        <w:rPr>
          <w:rFonts w:ascii="Arial" w:eastAsia="Times New Roman" w:hAnsi="Arial" w:cs="Arial"/>
          <w:color w:val="0070C0"/>
          <w:sz w:val="24"/>
          <w:szCs w:val="24"/>
          <w:lang w:eastAsia="en-GB"/>
        </w:rPr>
        <w:t xml:space="preserve">): </w:t>
      </w:r>
      <w:r w:rsidRPr="005C4FAD">
        <w:rPr>
          <w:rFonts w:ascii="Arial" w:eastAsia="Times New Roman" w:hAnsi="Arial" w:cs="Arial"/>
          <w:color w:val="000000"/>
          <w:sz w:val="24"/>
          <w:szCs w:val="24"/>
          <w:lang w:eastAsia="en-GB"/>
        </w:rPr>
        <w:t xml:space="preserve">The key issues influencing our approach were presented at the beginning of this document. This included several potential challenges for the evaluation, including </w:t>
      </w:r>
      <w:r w:rsidRPr="005C4FAD">
        <w:rPr>
          <w:rFonts w:ascii="Arial" w:eastAsia="Times New Roman" w:hAnsi="Arial" w:cs="Arial"/>
          <w:b/>
          <w:color w:val="000000"/>
          <w:sz w:val="24"/>
          <w:szCs w:val="24"/>
          <w:lang w:eastAsia="en-GB"/>
        </w:rPr>
        <w:t xml:space="preserve">policy complexity </w:t>
      </w:r>
      <w:r w:rsidRPr="005C4FAD">
        <w:rPr>
          <w:rFonts w:ascii="Arial" w:eastAsia="Times New Roman" w:hAnsi="Arial" w:cs="Arial"/>
          <w:color w:val="000000"/>
          <w:sz w:val="24"/>
          <w:szCs w:val="24"/>
          <w:lang w:eastAsia="en-GB"/>
        </w:rPr>
        <w:t xml:space="preserve">– i.e. the fact that it might be challenging to discern the contribution of the AISI compared to other influencing factors. To counter this, we have developed an approach that involves detailed mapping of other contextual factors influencing change. We have also given some examples of theory-based evaluation methods that are designed to assess contribution in </w:t>
      </w:r>
      <w:r w:rsidRPr="005C4FAD">
        <w:rPr>
          <w:rFonts w:ascii="Arial" w:eastAsia="Times New Roman" w:hAnsi="Arial" w:cs="Arial"/>
          <w:b/>
          <w:bCs/>
          <w:color w:val="000000"/>
          <w:sz w:val="24"/>
          <w:szCs w:val="24"/>
          <w:lang w:eastAsia="en-GB"/>
        </w:rPr>
        <w:t xml:space="preserve">complex policy </w:t>
      </w:r>
      <w:proofErr w:type="gramStart"/>
      <w:r w:rsidRPr="005C4FAD">
        <w:rPr>
          <w:rFonts w:ascii="Arial" w:eastAsia="Times New Roman" w:hAnsi="Arial" w:cs="Arial"/>
          <w:b/>
          <w:bCs/>
          <w:color w:val="000000"/>
          <w:sz w:val="24"/>
          <w:szCs w:val="24"/>
          <w:lang w:eastAsia="en-GB"/>
        </w:rPr>
        <w:t>environments</w:t>
      </w:r>
      <w:r w:rsidRPr="005C4FAD">
        <w:rPr>
          <w:rFonts w:ascii="Arial" w:eastAsia="Times New Roman" w:hAnsi="Arial" w:cs="Arial"/>
          <w:color w:val="000000"/>
          <w:sz w:val="24"/>
          <w:szCs w:val="24"/>
          <w:lang w:eastAsia="en-GB"/>
        </w:rPr>
        <w:t>, and</w:t>
      </w:r>
      <w:proofErr w:type="gramEnd"/>
      <w:r w:rsidRPr="005C4FAD">
        <w:rPr>
          <w:rFonts w:ascii="Arial" w:eastAsia="Times New Roman" w:hAnsi="Arial" w:cs="Arial"/>
          <w:color w:val="000000"/>
          <w:sz w:val="24"/>
          <w:szCs w:val="24"/>
          <w:lang w:eastAsia="en-GB"/>
        </w:rPr>
        <w:t xml:space="preserve"> have suggested strategies to mitigate some common issues such as </w:t>
      </w:r>
      <w:r w:rsidRPr="005C4FAD">
        <w:rPr>
          <w:rFonts w:ascii="Arial" w:eastAsia="Times New Roman" w:hAnsi="Arial" w:cs="Arial"/>
          <w:b/>
          <w:bCs/>
          <w:color w:val="000000"/>
          <w:sz w:val="24"/>
          <w:szCs w:val="24"/>
          <w:lang w:eastAsia="en-GB"/>
        </w:rPr>
        <w:t>limited transparency</w:t>
      </w:r>
      <w:r w:rsidRPr="005C4FAD">
        <w:rPr>
          <w:rFonts w:ascii="Arial" w:eastAsia="Times New Roman" w:hAnsi="Arial" w:cs="Arial"/>
          <w:color w:val="000000"/>
          <w:sz w:val="24"/>
          <w:szCs w:val="24"/>
          <w:lang w:eastAsia="en-GB"/>
        </w:rPr>
        <w:t xml:space="preserve"> and </w:t>
      </w:r>
      <w:r w:rsidRPr="005C4FAD">
        <w:rPr>
          <w:rFonts w:ascii="Arial" w:eastAsia="Times New Roman" w:hAnsi="Arial" w:cs="Arial"/>
          <w:b/>
          <w:bCs/>
          <w:color w:val="000000"/>
          <w:sz w:val="24"/>
          <w:szCs w:val="24"/>
          <w:lang w:eastAsia="en-GB"/>
        </w:rPr>
        <w:t>confirmation bias</w:t>
      </w:r>
      <w:r w:rsidRPr="005C4FAD">
        <w:rPr>
          <w:rFonts w:ascii="Arial" w:eastAsia="Times New Roman" w:hAnsi="Arial" w:cs="Arial"/>
          <w:color w:val="000000"/>
          <w:sz w:val="24"/>
          <w:szCs w:val="24"/>
          <w:lang w:eastAsia="en-GB"/>
        </w:rPr>
        <w:t xml:space="preserve">. These approaches, however, may still be limited in the extent to which they prove or weight the proportion of AISI influence on outcomes (when compared to statistical and counterfactual methods). Three other methodological risks typically encountered in evaluations, which we may face, comprise a </w:t>
      </w:r>
      <w:r w:rsidRPr="005C4FAD">
        <w:rPr>
          <w:rFonts w:ascii="Arial" w:eastAsia="Times New Roman" w:hAnsi="Arial" w:cs="Arial"/>
          <w:b/>
          <w:bCs/>
          <w:color w:val="000000"/>
          <w:sz w:val="24"/>
          <w:szCs w:val="24"/>
          <w:lang w:eastAsia="en-GB"/>
        </w:rPr>
        <w:t>lack or poor quality of secondary data</w:t>
      </w:r>
      <w:r w:rsidRPr="005C4FAD">
        <w:rPr>
          <w:rFonts w:ascii="Arial" w:eastAsia="Times New Roman" w:hAnsi="Arial" w:cs="Arial"/>
          <w:color w:val="000000"/>
          <w:sz w:val="24"/>
          <w:szCs w:val="24"/>
          <w:lang w:eastAsia="en-GB"/>
        </w:rPr>
        <w:t xml:space="preserve">, potential bias in findings where there is a </w:t>
      </w:r>
      <w:r w:rsidRPr="005C4FAD">
        <w:rPr>
          <w:rFonts w:ascii="Arial" w:eastAsia="Times New Roman" w:hAnsi="Arial" w:cs="Arial"/>
          <w:b/>
          <w:bCs/>
          <w:color w:val="000000"/>
          <w:sz w:val="24"/>
          <w:szCs w:val="24"/>
          <w:lang w:eastAsia="en-GB"/>
        </w:rPr>
        <w:t>strong reliance on self-reported data</w:t>
      </w:r>
      <w:r w:rsidRPr="005C4FAD">
        <w:rPr>
          <w:rFonts w:ascii="Arial" w:eastAsia="Times New Roman" w:hAnsi="Arial" w:cs="Arial"/>
          <w:color w:val="000000"/>
          <w:sz w:val="24"/>
          <w:szCs w:val="24"/>
          <w:lang w:eastAsia="en-GB"/>
        </w:rPr>
        <w:t xml:space="preserve">, and </w:t>
      </w:r>
      <w:r w:rsidRPr="005C4FAD">
        <w:rPr>
          <w:rFonts w:ascii="Arial" w:eastAsia="Times New Roman" w:hAnsi="Arial" w:cs="Arial"/>
          <w:b/>
          <w:bCs/>
          <w:color w:val="000000"/>
          <w:sz w:val="24"/>
          <w:szCs w:val="24"/>
          <w:lang w:eastAsia="en-GB"/>
        </w:rPr>
        <w:t>challenges in engaging stakeholders in primary data collection</w:t>
      </w:r>
      <w:r w:rsidRPr="005C4FAD">
        <w:rPr>
          <w:rFonts w:ascii="Arial" w:eastAsia="Times New Roman" w:hAnsi="Arial" w:cs="Arial"/>
          <w:color w:val="000000"/>
          <w:sz w:val="24"/>
          <w:szCs w:val="24"/>
          <w:lang w:eastAsia="en-GB"/>
        </w:rPr>
        <w:t xml:space="preserve">. We have already assumed that this evaluation will have a greater dependence on primary data and the self-reporting of key stakeholders over secondary data, which means that the latter two risks here are greatest. We will mitigate engagement challenges by working closely through our own networks, as well as the AISI’s, and utilising tried and tested techniques of timing and wording follow-up invitations. Where appropriate, with DSIT’s agreement, we will make use of a professional recruitment organisation. We do not recommend and have not costed for use of </w:t>
      </w:r>
      <w:r w:rsidRPr="005C4FAD">
        <w:rPr>
          <w:rFonts w:ascii="Arial" w:eastAsia="Times New Roman" w:hAnsi="Arial" w:cs="Arial"/>
          <w:color w:val="000000"/>
          <w:sz w:val="24"/>
          <w:szCs w:val="24"/>
          <w:lang w:eastAsia="en-GB"/>
        </w:rPr>
        <w:lastRenderedPageBreak/>
        <w:t xml:space="preserve">incentives as we consider all stakeholders have an interest in the AISI and will be therefore willing to lend their voice to the evaluation. To mitigate against bias, we will always </w:t>
      </w:r>
      <w:proofErr w:type="gramStart"/>
      <w:r w:rsidRPr="005C4FAD">
        <w:rPr>
          <w:rFonts w:ascii="Arial" w:eastAsia="Times New Roman" w:hAnsi="Arial" w:cs="Arial"/>
          <w:color w:val="000000"/>
          <w:sz w:val="24"/>
          <w:szCs w:val="24"/>
          <w:lang w:eastAsia="en-GB"/>
        </w:rPr>
        <w:t>take into account</w:t>
      </w:r>
      <w:proofErr w:type="gramEnd"/>
      <w:r w:rsidRPr="005C4FAD">
        <w:rPr>
          <w:rFonts w:ascii="Arial" w:eastAsia="Times New Roman" w:hAnsi="Arial" w:cs="Arial"/>
          <w:color w:val="000000"/>
          <w:sz w:val="24"/>
          <w:szCs w:val="24"/>
          <w:lang w:eastAsia="en-GB"/>
        </w:rPr>
        <w:t xml:space="preserve"> the drivers of specific views of stakeholders and triangulate all perspectives.</w:t>
      </w:r>
      <w:r w:rsidRPr="005C4FAD">
        <w:rPr>
          <w:rFonts w:ascii="Arial" w:eastAsia="Times New Roman" w:hAnsi="Arial" w:cs="Arial"/>
          <w:b/>
          <w:bCs/>
          <w:color w:val="000000"/>
          <w:sz w:val="24"/>
          <w:szCs w:val="24"/>
          <w:lang w:eastAsia="en-GB"/>
        </w:rPr>
        <w:t xml:space="preserve"> A risk register is provided in our response to Q5 (project management).</w:t>
      </w:r>
    </w:p>
    <w:p w14:paraId="7D416226" w14:textId="77777777" w:rsidR="005C4FAD" w:rsidRDefault="005C4FAD" w:rsidP="005C4FAD">
      <w:pPr>
        <w:spacing w:before="20" w:after="120" w:line="240" w:lineRule="auto"/>
        <w:rPr>
          <w:rFonts w:ascii="Arial" w:eastAsia="Times New Roman" w:hAnsi="Arial" w:cs="Arial"/>
          <w:b/>
          <w:bCs/>
          <w:color w:val="000000"/>
          <w:sz w:val="24"/>
          <w:szCs w:val="24"/>
          <w:lang w:eastAsia="en-GB"/>
        </w:rPr>
        <w:sectPr w:rsidR="005C4FAD">
          <w:headerReference w:type="default" r:id="rId34"/>
          <w:footerReference w:type="default" r:id="rId35"/>
          <w:pgSz w:w="11906" w:h="16838"/>
          <w:pgMar w:top="1440" w:right="1440" w:bottom="1440" w:left="1440" w:header="706" w:footer="706" w:gutter="0"/>
          <w:cols w:space="708"/>
          <w:docGrid w:linePitch="360"/>
        </w:sectPr>
      </w:pPr>
      <w:bookmarkStart w:id="1" w:name="_Hlk169079437"/>
    </w:p>
    <w:p w14:paraId="05F858C6" w14:textId="77777777" w:rsidR="005C4FAD" w:rsidRPr="005C4FAD" w:rsidRDefault="005C4FAD" w:rsidP="005C4FAD">
      <w:pPr>
        <w:spacing w:before="20" w:after="12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0000"/>
          <w:sz w:val="24"/>
          <w:szCs w:val="24"/>
          <w:lang w:eastAsia="en-GB"/>
        </w:rPr>
        <w:lastRenderedPageBreak/>
        <w:t>Table 1. Initial outline of primary data collection approach</w:t>
      </w:r>
      <w:r w:rsidRPr="005C4FAD">
        <w:rPr>
          <w:rFonts w:ascii="Arial" w:eastAsia="Times New Roman" w:hAnsi="Arial" w:cs="Arial"/>
          <w:noProof/>
          <w:color w:val="000000"/>
          <w:sz w:val="24"/>
          <w:szCs w:val="24"/>
          <w:lang w:eastAsia="en-GB"/>
        </w:rPr>
        <w:drawing>
          <wp:inline distT="0" distB="0" distL="0" distR="0" wp14:anchorId="43965844" wp14:editId="03982846">
            <wp:extent cx="5886450" cy="3871472"/>
            <wp:effectExtent l="38100" t="38100" r="38100" b="34290"/>
            <wp:docPr id="95514626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46266" name="Picture 1" descr="A screenshot of a computer&#10;&#10;Description automatically generated"/>
                    <pic:cNvPicPr/>
                  </pic:nvPicPr>
                  <pic:blipFill rotWithShape="1">
                    <a:blip r:embed="rId36"/>
                    <a:srcRect l="62277" t="30015" r="10960" b="7394"/>
                    <a:stretch/>
                  </pic:blipFill>
                  <pic:spPr bwMode="auto">
                    <a:xfrm>
                      <a:off x="0" y="0"/>
                      <a:ext cx="5911135" cy="3887707"/>
                    </a:xfrm>
                    <a:prstGeom prst="rect">
                      <a:avLst/>
                    </a:prstGeom>
                    <a:ln w="28575">
                      <a:solidFill>
                        <a:sysClr val="windowText" lastClr="000000"/>
                      </a:solidFill>
                    </a:ln>
                    <a:extLst>
                      <a:ext uri="{53640926-AAD7-44D8-BBD7-CCE9431645EC}">
                        <a14:shadowObscured xmlns:a14="http://schemas.microsoft.com/office/drawing/2010/main"/>
                      </a:ext>
                    </a:extLst>
                  </pic:spPr>
                </pic:pic>
              </a:graphicData>
            </a:graphic>
          </wp:inline>
        </w:drawing>
      </w:r>
      <w:r w:rsidRPr="005C4FAD">
        <w:rPr>
          <w:rFonts w:ascii="Arial" w:eastAsia="Times New Roman" w:hAnsi="Arial" w:cs="Arial"/>
          <w:color w:val="000000"/>
          <w:sz w:val="16"/>
          <w:szCs w:val="16"/>
          <w:lang w:eastAsia="en-GB"/>
        </w:rPr>
        <w:tab/>
      </w:r>
      <w:r w:rsidRPr="005C4FAD">
        <w:rPr>
          <w:rFonts w:ascii="Arial" w:eastAsia="Times New Roman" w:hAnsi="Arial" w:cs="Arial"/>
          <w:color w:val="000000"/>
          <w:sz w:val="16"/>
          <w:szCs w:val="16"/>
          <w:lang w:eastAsia="en-GB"/>
        </w:rPr>
        <w:tab/>
      </w:r>
      <w:r w:rsidRPr="005C4FAD">
        <w:rPr>
          <w:rFonts w:ascii="Arial" w:eastAsia="Times New Roman" w:hAnsi="Arial" w:cs="Arial"/>
          <w:color w:val="000000"/>
          <w:sz w:val="16"/>
          <w:szCs w:val="16"/>
          <w:lang w:eastAsia="en-GB"/>
        </w:rPr>
        <w:tab/>
      </w:r>
      <w:bookmarkEnd w:id="1"/>
    </w:p>
    <w:p w14:paraId="505F40FE" w14:textId="77777777" w:rsidR="005C4FAD" w:rsidRDefault="005C4FAD" w:rsidP="005C4FAD">
      <w:pPr>
        <w:sectPr w:rsidR="005C4FAD" w:rsidSect="005C4FAD">
          <w:pgSz w:w="16838" w:h="11906" w:orient="landscape"/>
          <w:pgMar w:top="1440" w:right="1440" w:bottom="1440" w:left="1440" w:header="706" w:footer="706" w:gutter="0"/>
          <w:cols w:space="708"/>
          <w:docGrid w:linePitch="360"/>
        </w:sectPr>
      </w:pPr>
    </w:p>
    <w:p w14:paraId="71C8B068" w14:textId="748ECBC8" w:rsidR="005C4FAD" w:rsidRDefault="005C4FAD" w:rsidP="005C4FAD">
      <w:pPr>
        <w:spacing w:before="120" w:after="240" w:line="240" w:lineRule="auto"/>
        <w:rPr>
          <w:rFonts w:ascii="Arial" w:eastAsia="Times New Roman" w:hAnsi="Arial" w:cs="Arial"/>
          <w:b/>
          <w:bCs/>
          <w:color w:val="0070C0"/>
          <w:sz w:val="24"/>
          <w:szCs w:val="24"/>
          <w:lang w:eastAsia="en-GB"/>
        </w:rPr>
      </w:pPr>
      <w:bookmarkStart w:id="2" w:name="_Hlk156209156"/>
      <w:r>
        <w:rPr>
          <w:rFonts w:ascii="Arial" w:eastAsia="Times New Roman" w:hAnsi="Arial" w:cs="Arial"/>
          <w:b/>
          <w:bCs/>
          <w:color w:val="0070C0"/>
          <w:sz w:val="24"/>
          <w:szCs w:val="24"/>
          <w:lang w:eastAsia="en-GB"/>
        </w:rPr>
        <w:lastRenderedPageBreak/>
        <w:t>5. PROJECT MANAGEMENT</w:t>
      </w:r>
    </w:p>
    <w:p w14:paraId="0F03DE74" w14:textId="79469DBD" w:rsidR="005C4FAD" w:rsidRPr="005C4FAD" w:rsidRDefault="005C4FAD" w:rsidP="005C4FAD">
      <w:pPr>
        <w:spacing w:before="120" w:after="240" w:line="240" w:lineRule="auto"/>
        <w:rPr>
          <w:rFonts w:ascii="Arial" w:eastAsia="Times New Roman" w:hAnsi="Arial" w:cs="Arial"/>
          <w:color w:val="000000"/>
          <w:sz w:val="24"/>
          <w:szCs w:val="24"/>
          <w:lang w:eastAsia="en-GB"/>
        </w:rPr>
      </w:pPr>
      <w:r w:rsidRPr="005C4FAD">
        <w:rPr>
          <w:rFonts w:ascii="Arial" w:eastAsia="Times New Roman" w:hAnsi="Arial" w:cs="Arial"/>
          <w:b/>
          <w:bCs/>
          <w:color w:val="0070C0"/>
          <w:sz w:val="24"/>
          <w:szCs w:val="24"/>
          <w:lang w:eastAsia="en-GB"/>
        </w:rPr>
        <w:t xml:space="preserve">Project management team: </w:t>
      </w:r>
      <w:r w:rsidRPr="005C4FAD">
        <w:rPr>
          <w:rFonts w:ascii="Arial" w:eastAsia="Times New Roman" w:hAnsi="Arial" w:cs="Arial"/>
          <w:color w:val="000000"/>
          <w:sz w:val="24"/>
          <w:szCs w:val="24"/>
          <w:lang w:eastAsia="en-GB"/>
        </w:rPr>
        <w:t>The primary point of contact on this contract will be the Project Manager, who has more than 20 years’ experience managing evaluations and studies involving complex methods, commercial sensitivity, heightened data security, and multiple stakeholders. She therefore has an excellent understanding of the ethical requirements of such assignments, the fieldwork and data challenges and stakeholder engagement opportunities and challenges. She is currently project-managing two project level evaluations for the broader, multi-</w:t>
      </w:r>
      <w:proofErr w:type="gramStart"/>
      <w:r w:rsidRPr="005C4FAD">
        <w:rPr>
          <w:rFonts w:ascii="Arial" w:eastAsia="Times New Roman" w:hAnsi="Arial" w:cs="Arial"/>
          <w:color w:val="000000"/>
          <w:sz w:val="24"/>
          <w:szCs w:val="24"/>
          <w:lang w:eastAsia="en-GB"/>
        </w:rPr>
        <w:t>million pound</w:t>
      </w:r>
      <w:proofErr w:type="gramEnd"/>
      <w:r w:rsidRPr="005C4FAD">
        <w:rPr>
          <w:rFonts w:ascii="Arial" w:eastAsia="Times New Roman" w:hAnsi="Arial" w:cs="Arial"/>
          <w:color w:val="000000"/>
          <w:sz w:val="24"/>
          <w:szCs w:val="24"/>
          <w:lang w:eastAsia="en-GB"/>
        </w:rPr>
        <w:t xml:space="preserve"> evaluation of the Strategic Priorities Fund for DLUHC. She will be supported by a project coordinator, the project director as well as a panel of methods experts supporting with evaluation design. Responsibilities within this are set out in Table 1.</w:t>
      </w:r>
    </w:p>
    <w:p w14:paraId="2279D2FF" w14:textId="77777777" w:rsidR="005C4FAD" w:rsidRPr="005C4FAD" w:rsidRDefault="005C4FAD" w:rsidP="005C4FAD">
      <w:pPr>
        <w:spacing w:before="60" w:after="60" w:line="240" w:lineRule="auto"/>
        <w:rPr>
          <w:rFonts w:ascii="Arial" w:eastAsia="Times New Roman" w:hAnsi="Arial" w:cs="Arial"/>
          <w:b/>
          <w:bCs/>
          <w:sz w:val="24"/>
          <w:szCs w:val="24"/>
          <w:lang w:eastAsia="en-GB"/>
        </w:rPr>
      </w:pPr>
      <w:r w:rsidRPr="005C4FAD">
        <w:rPr>
          <w:rFonts w:ascii="Arial" w:eastAsia="Times New Roman" w:hAnsi="Arial" w:cs="Arial"/>
          <w:b/>
          <w:bCs/>
          <w:sz w:val="24"/>
          <w:szCs w:val="24"/>
          <w:lang w:eastAsia="en-GB"/>
        </w:rPr>
        <w:t>Table 1. Description of core project management team</w:t>
      </w:r>
    </w:p>
    <w:tbl>
      <w:tblPr>
        <w:tblStyle w:val="TableGrid2"/>
        <w:tblW w:w="9918" w:type="dxa"/>
        <w:tblLook w:val="04A0" w:firstRow="1" w:lastRow="0" w:firstColumn="1" w:lastColumn="0" w:noHBand="0" w:noVBand="1"/>
      </w:tblPr>
      <w:tblGrid>
        <w:gridCol w:w="9918"/>
      </w:tblGrid>
      <w:tr w:rsidR="005C4FAD" w:rsidRPr="005C4FAD" w14:paraId="3D9F8FD1" w14:textId="77777777">
        <w:tc>
          <w:tcPr>
            <w:tcW w:w="9918" w:type="dxa"/>
          </w:tcPr>
          <w:p w14:paraId="36A045B9" w14:textId="77777777" w:rsidR="005C4FAD" w:rsidRPr="005C4FAD" w:rsidRDefault="005C4FAD" w:rsidP="005C4FAD">
            <w:pPr>
              <w:spacing w:before="60" w:after="60"/>
              <w:rPr>
                <w:sz w:val="24"/>
                <w:szCs w:val="24"/>
              </w:rPr>
            </w:pPr>
            <w:r w:rsidRPr="005C4FAD">
              <w:rPr>
                <w:b/>
                <w:bCs/>
                <w:color w:val="0070C0"/>
                <w:sz w:val="24"/>
                <w:szCs w:val="24"/>
              </w:rPr>
              <w:t xml:space="preserve">Project Director (PD): </w:t>
            </w:r>
            <w:r w:rsidRPr="005C4FAD">
              <w:rPr>
                <w:sz w:val="24"/>
                <w:szCs w:val="24"/>
              </w:rPr>
              <w:t xml:space="preserve">The PD will oversee </w:t>
            </w:r>
            <w:r w:rsidRPr="005C4FAD">
              <w:rPr>
                <w:b/>
                <w:bCs/>
                <w:sz w:val="24"/>
                <w:szCs w:val="24"/>
              </w:rPr>
              <w:t>governance</w:t>
            </w:r>
            <w:r w:rsidRPr="005C4FAD">
              <w:rPr>
                <w:sz w:val="24"/>
                <w:szCs w:val="24"/>
              </w:rPr>
              <w:t xml:space="preserve"> of the contract (signing off legal documents, approving financials, scope statements, and timelines) and attend critical evaluation design and contract meetings. He will have ultimate oversight on </w:t>
            </w:r>
            <w:r w:rsidRPr="005C4FAD">
              <w:rPr>
                <w:b/>
                <w:bCs/>
                <w:sz w:val="24"/>
                <w:szCs w:val="24"/>
              </w:rPr>
              <w:t>quality</w:t>
            </w:r>
            <w:r w:rsidRPr="005C4FAD">
              <w:rPr>
                <w:sz w:val="24"/>
                <w:szCs w:val="24"/>
              </w:rPr>
              <w:t xml:space="preserve"> of </w:t>
            </w:r>
            <w:proofErr w:type="gramStart"/>
            <w:r w:rsidRPr="005C4FAD">
              <w:rPr>
                <w:sz w:val="24"/>
                <w:szCs w:val="24"/>
              </w:rPr>
              <w:t>outputs;</w:t>
            </w:r>
            <w:proofErr w:type="gramEnd"/>
            <w:r w:rsidRPr="005C4FAD">
              <w:rPr>
                <w:sz w:val="24"/>
                <w:szCs w:val="24"/>
              </w:rPr>
              <w:t xml:space="preserve"> reviewing and signing these off. He will also have overall accountability for </w:t>
            </w:r>
            <w:r w:rsidRPr="005C4FAD">
              <w:rPr>
                <w:b/>
                <w:bCs/>
                <w:sz w:val="24"/>
                <w:szCs w:val="24"/>
              </w:rPr>
              <w:t>financial management</w:t>
            </w:r>
            <w:r w:rsidRPr="005C4FAD">
              <w:rPr>
                <w:sz w:val="24"/>
                <w:szCs w:val="24"/>
              </w:rPr>
              <w:t>,</w:t>
            </w:r>
            <w:r w:rsidRPr="005C4FAD">
              <w:rPr>
                <w:b/>
                <w:bCs/>
                <w:sz w:val="24"/>
                <w:szCs w:val="24"/>
              </w:rPr>
              <w:t xml:space="preserve"> </w:t>
            </w:r>
            <w:r w:rsidRPr="005C4FAD">
              <w:rPr>
                <w:sz w:val="24"/>
                <w:szCs w:val="24"/>
              </w:rPr>
              <w:t xml:space="preserve">meaning that she will regularly check in on progress against budget targets with the Project Manager. He will be accountable to DSIT for </w:t>
            </w:r>
            <w:r w:rsidRPr="005C4FAD">
              <w:rPr>
                <w:b/>
                <w:bCs/>
                <w:sz w:val="24"/>
                <w:szCs w:val="24"/>
              </w:rPr>
              <w:t>partner inputs</w:t>
            </w:r>
            <w:r w:rsidRPr="005C4FAD">
              <w:rPr>
                <w:sz w:val="24"/>
                <w:szCs w:val="24"/>
              </w:rPr>
              <w:t xml:space="preserve"> (quality, timeliness) and adherence of our subcontractors to their sub-contract. More broadly, he will lead on </w:t>
            </w:r>
            <w:r w:rsidRPr="005C4FAD">
              <w:rPr>
                <w:b/>
                <w:bCs/>
                <w:sz w:val="24"/>
                <w:szCs w:val="24"/>
              </w:rPr>
              <w:t>recruitment</w:t>
            </w:r>
            <w:r w:rsidRPr="005C4FAD">
              <w:rPr>
                <w:sz w:val="24"/>
                <w:szCs w:val="24"/>
              </w:rPr>
              <w:t xml:space="preserve"> of new team members in case of departures or long-term absences. He will also ensure the contract’s </w:t>
            </w:r>
            <w:r w:rsidRPr="005C4FAD">
              <w:rPr>
                <w:b/>
                <w:bCs/>
                <w:sz w:val="24"/>
                <w:szCs w:val="24"/>
              </w:rPr>
              <w:t>ethics code</w:t>
            </w:r>
            <w:r w:rsidRPr="005C4FAD">
              <w:rPr>
                <w:sz w:val="24"/>
                <w:szCs w:val="24"/>
              </w:rPr>
              <w:t xml:space="preserve">, </w:t>
            </w:r>
            <w:r w:rsidRPr="005C4FAD">
              <w:rPr>
                <w:b/>
                <w:bCs/>
                <w:sz w:val="24"/>
                <w:szCs w:val="24"/>
              </w:rPr>
              <w:t>social value commitments</w:t>
            </w:r>
            <w:r w:rsidRPr="005C4FAD">
              <w:rPr>
                <w:sz w:val="24"/>
                <w:szCs w:val="24"/>
              </w:rPr>
              <w:t xml:space="preserve">, </w:t>
            </w:r>
            <w:r w:rsidRPr="005C4FAD">
              <w:rPr>
                <w:b/>
                <w:bCs/>
                <w:sz w:val="24"/>
                <w:szCs w:val="24"/>
              </w:rPr>
              <w:t>milestones</w:t>
            </w:r>
            <w:r w:rsidRPr="005C4FAD">
              <w:rPr>
                <w:sz w:val="24"/>
                <w:szCs w:val="24"/>
              </w:rPr>
              <w:t xml:space="preserve"> are met (and effectively monitored). He will have responsibility for </w:t>
            </w:r>
            <w:r w:rsidRPr="005C4FAD">
              <w:rPr>
                <w:b/>
                <w:bCs/>
                <w:sz w:val="24"/>
                <w:szCs w:val="24"/>
              </w:rPr>
              <w:t>escalation</w:t>
            </w:r>
            <w:r w:rsidRPr="005C4FAD">
              <w:rPr>
                <w:sz w:val="24"/>
                <w:szCs w:val="24"/>
              </w:rPr>
              <w:t xml:space="preserve"> of any issues raised by team members, DSIT or participants in the research, whether raised through whistleblowing or non-anonymous channels. And she will also have a role to </w:t>
            </w:r>
            <w:r w:rsidRPr="005C4FAD">
              <w:rPr>
                <w:b/>
                <w:bCs/>
                <w:sz w:val="24"/>
                <w:szCs w:val="24"/>
              </w:rPr>
              <w:t>represent the MEL contract</w:t>
            </w:r>
            <w:r w:rsidRPr="005C4FAD">
              <w:rPr>
                <w:sz w:val="24"/>
                <w:szCs w:val="24"/>
              </w:rPr>
              <w:t xml:space="preserve"> publicly in external learning engagements.</w:t>
            </w:r>
          </w:p>
        </w:tc>
      </w:tr>
      <w:tr w:rsidR="005C4FAD" w:rsidRPr="005C4FAD" w14:paraId="66F987D1" w14:textId="77777777">
        <w:tc>
          <w:tcPr>
            <w:tcW w:w="9918" w:type="dxa"/>
          </w:tcPr>
          <w:p w14:paraId="2D5D14F3" w14:textId="77777777" w:rsidR="005C4FAD" w:rsidRPr="005C4FAD" w:rsidRDefault="005C4FAD" w:rsidP="005C4FAD">
            <w:pPr>
              <w:spacing w:before="60" w:after="60"/>
              <w:rPr>
                <w:sz w:val="24"/>
                <w:szCs w:val="24"/>
              </w:rPr>
            </w:pPr>
            <w:r w:rsidRPr="005C4FAD">
              <w:rPr>
                <w:b/>
                <w:bCs/>
                <w:color w:val="0070C0"/>
                <w:sz w:val="24"/>
                <w:szCs w:val="24"/>
              </w:rPr>
              <w:t xml:space="preserve">Project Manager (PM): </w:t>
            </w:r>
            <w:r w:rsidRPr="005C4FAD">
              <w:rPr>
                <w:sz w:val="24"/>
                <w:szCs w:val="24"/>
              </w:rPr>
              <w:t xml:space="preserve">The PM will be the first point of contact for all </w:t>
            </w:r>
            <w:r w:rsidRPr="005C4FAD">
              <w:rPr>
                <w:b/>
                <w:bCs/>
                <w:sz w:val="24"/>
                <w:szCs w:val="24"/>
              </w:rPr>
              <w:t>client communications</w:t>
            </w:r>
            <w:r w:rsidRPr="005C4FAD">
              <w:rPr>
                <w:sz w:val="24"/>
                <w:szCs w:val="24"/>
              </w:rPr>
              <w:t xml:space="preserve"> and requests. She will also de facto have responsibility for the </w:t>
            </w:r>
            <w:r w:rsidRPr="005C4FAD">
              <w:rPr>
                <w:b/>
                <w:bCs/>
                <w:sz w:val="24"/>
                <w:szCs w:val="24"/>
              </w:rPr>
              <w:t>flow of information to the wider team</w:t>
            </w:r>
            <w:r w:rsidRPr="005C4FAD">
              <w:rPr>
                <w:sz w:val="24"/>
                <w:szCs w:val="24"/>
              </w:rPr>
              <w:t xml:space="preserve">, delegating out this responsibility to </w:t>
            </w:r>
            <w:proofErr w:type="spellStart"/>
            <w:r w:rsidRPr="005C4FAD">
              <w:rPr>
                <w:sz w:val="24"/>
                <w:szCs w:val="24"/>
              </w:rPr>
              <w:t>workstrand</w:t>
            </w:r>
            <w:proofErr w:type="spellEnd"/>
            <w:r w:rsidRPr="005C4FAD">
              <w:rPr>
                <w:sz w:val="24"/>
                <w:szCs w:val="24"/>
              </w:rPr>
              <w:t xml:space="preserve"> leads as appropriate. She will attend </w:t>
            </w:r>
            <w:r w:rsidRPr="005C4FAD">
              <w:rPr>
                <w:b/>
                <w:bCs/>
                <w:sz w:val="24"/>
                <w:szCs w:val="24"/>
              </w:rPr>
              <w:t>all weekly PMO meetings</w:t>
            </w:r>
            <w:r w:rsidRPr="005C4FAD">
              <w:rPr>
                <w:sz w:val="24"/>
                <w:szCs w:val="24"/>
              </w:rPr>
              <w:t xml:space="preserve"> except in case of absence. She will ‘hold the pen’ of the Gantt / work plan, meaning she has responsibility for </w:t>
            </w:r>
            <w:r w:rsidRPr="005C4FAD">
              <w:rPr>
                <w:b/>
                <w:bCs/>
                <w:sz w:val="24"/>
                <w:szCs w:val="24"/>
              </w:rPr>
              <w:t>tracking progress</w:t>
            </w:r>
            <w:r w:rsidRPr="005C4FAD">
              <w:rPr>
                <w:sz w:val="24"/>
                <w:szCs w:val="24"/>
              </w:rPr>
              <w:t xml:space="preserve"> against each activity and milestone and </w:t>
            </w:r>
            <w:r w:rsidRPr="005C4FAD">
              <w:rPr>
                <w:b/>
                <w:bCs/>
                <w:sz w:val="24"/>
                <w:szCs w:val="24"/>
              </w:rPr>
              <w:t>monitoring risk</w:t>
            </w:r>
            <w:r w:rsidRPr="005C4FAD">
              <w:rPr>
                <w:sz w:val="24"/>
                <w:szCs w:val="24"/>
              </w:rPr>
              <w:t xml:space="preserve">. She will have sight of every MEL method, framework, data collection tool and analytical approach designed and – in this way – support </w:t>
            </w:r>
            <w:r w:rsidRPr="005C4FAD">
              <w:rPr>
                <w:b/>
                <w:bCs/>
                <w:sz w:val="24"/>
                <w:szCs w:val="24"/>
              </w:rPr>
              <w:t>coherence of our methodology</w:t>
            </w:r>
            <w:r w:rsidRPr="005C4FAD">
              <w:rPr>
                <w:sz w:val="24"/>
                <w:szCs w:val="24"/>
              </w:rPr>
              <w:t xml:space="preserve">. She will </w:t>
            </w:r>
            <w:r w:rsidRPr="005C4FAD">
              <w:rPr>
                <w:b/>
                <w:bCs/>
                <w:sz w:val="24"/>
                <w:szCs w:val="24"/>
              </w:rPr>
              <w:t>support collaboration</w:t>
            </w:r>
            <w:r w:rsidRPr="005C4FAD">
              <w:rPr>
                <w:sz w:val="24"/>
                <w:szCs w:val="24"/>
              </w:rPr>
              <w:t xml:space="preserve"> across the team through </w:t>
            </w:r>
            <w:r w:rsidRPr="005C4FAD">
              <w:rPr>
                <w:b/>
                <w:bCs/>
                <w:sz w:val="24"/>
                <w:szCs w:val="24"/>
              </w:rPr>
              <w:t>weekly team meetings</w:t>
            </w:r>
            <w:r w:rsidRPr="005C4FAD">
              <w:rPr>
                <w:sz w:val="24"/>
                <w:szCs w:val="24"/>
              </w:rPr>
              <w:t xml:space="preserve"> and by monitoring dependencies between </w:t>
            </w:r>
            <w:proofErr w:type="spellStart"/>
            <w:r w:rsidRPr="005C4FAD">
              <w:rPr>
                <w:sz w:val="24"/>
                <w:szCs w:val="24"/>
              </w:rPr>
              <w:t>workstrands</w:t>
            </w:r>
            <w:proofErr w:type="spellEnd"/>
            <w:r w:rsidRPr="005C4FAD">
              <w:rPr>
                <w:sz w:val="24"/>
                <w:szCs w:val="24"/>
              </w:rPr>
              <w:t xml:space="preserve"> and ensuring relevant team members are talking to each other. She will have a role in </w:t>
            </w:r>
            <w:r w:rsidRPr="005C4FAD">
              <w:rPr>
                <w:b/>
                <w:bCs/>
                <w:sz w:val="24"/>
                <w:szCs w:val="24"/>
              </w:rPr>
              <w:t>initial QA</w:t>
            </w:r>
            <w:r w:rsidRPr="005C4FAD">
              <w:rPr>
                <w:sz w:val="24"/>
                <w:szCs w:val="24"/>
              </w:rPr>
              <w:t xml:space="preserve"> of outputs. Due to her detailed knowledge of how the project is progressing, she will also be responsible for </w:t>
            </w:r>
            <w:r w:rsidRPr="005C4FAD">
              <w:rPr>
                <w:b/>
                <w:bCs/>
                <w:sz w:val="24"/>
                <w:szCs w:val="24"/>
              </w:rPr>
              <w:t>reporting on this to the PD</w:t>
            </w:r>
            <w:r w:rsidRPr="005C4FAD">
              <w:rPr>
                <w:sz w:val="24"/>
                <w:szCs w:val="24"/>
              </w:rPr>
              <w:t>.</w:t>
            </w:r>
          </w:p>
        </w:tc>
      </w:tr>
      <w:tr w:rsidR="005C4FAD" w:rsidRPr="005C4FAD" w14:paraId="5486EADD" w14:textId="77777777">
        <w:tc>
          <w:tcPr>
            <w:tcW w:w="9918" w:type="dxa"/>
          </w:tcPr>
          <w:p w14:paraId="0DDC3917" w14:textId="77777777" w:rsidR="005C4FAD" w:rsidRPr="005C4FAD" w:rsidRDefault="005C4FAD" w:rsidP="005C4FAD">
            <w:pPr>
              <w:spacing w:before="60" w:after="60"/>
              <w:rPr>
                <w:sz w:val="24"/>
                <w:szCs w:val="24"/>
              </w:rPr>
            </w:pPr>
            <w:r w:rsidRPr="005C4FAD">
              <w:rPr>
                <w:b/>
                <w:bCs/>
                <w:color w:val="0070C0"/>
                <w:sz w:val="24"/>
                <w:szCs w:val="24"/>
              </w:rPr>
              <w:t xml:space="preserve">Project Coordinator (PC): </w:t>
            </w:r>
            <w:r w:rsidRPr="005C4FAD">
              <w:rPr>
                <w:sz w:val="24"/>
                <w:szCs w:val="24"/>
              </w:rPr>
              <w:t xml:space="preserve">The PC will provide critical project support. They will attend all PMO and other core </w:t>
            </w:r>
            <w:r w:rsidRPr="005C4FAD">
              <w:rPr>
                <w:b/>
                <w:bCs/>
                <w:sz w:val="24"/>
                <w:szCs w:val="24"/>
              </w:rPr>
              <w:t>client meetings</w:t>
            </w:r>
            <w:r w:rsidRPr="005C4FAD">
              <w:rPr>
                <w:sz w:val="24"/>
                <w:szCs w:val="24"/>
              </w:rPr>
              <w:t xml:space="preserve">, responsible for </w:t>
            </w:r>
            <w:proofErr w:type="gramStart"/>
            <w:r w:rsidRPr="005C4FAD">
              <w:rPr>
                <w:b/>
                <w:bCs/>
                <w:sz w:val="24"/>
                <w:szCs w:val="24"/>
              </w:rPr>
              <w:t>note-taking</w:t>
            </w:r>
            <w:proofErr w:type="gramEnd"/>
            <w:r w:rsidRPr="005C4FAD">
              <w:rPr>
                <w:sz w:val="24"/>
                <w:szCs w:val="24"/>
              </w:rPr>
              <w:t xml:space="preserve"> and the dissemination of these (once signed off by the PM). They will have responsibility for </w:t>
            </w:r>
            <w:r w:rsidRPr="005C4FAD">
              <w:rPr>
                <w:b/>
                <w:bCs/>
                <w:sz w:val="24"/>
                <w:szCs w:val="24"/>
              </w:rPr>
              <w:t xml:space="preserve">knowledge </w:t>
            </w:r>
            <w:proofErr w:type="gramStart"/>
            <w:r w:rsidRPr="005C4FAD">
              <w:rPr>
                <w:b/>
                <w:bCs/>
                <w:sz w:val="24"/>
                <w:szCs w:val="24"/>
              </w:rPr>
              <w:t>management</w:t>
            </w:r>
            <w:r w:rsidRPr="005C4FAD">
              <w:rPr>
                <w:sz w:val="24"/>
                <w:szCs w:val="24"/>
              </w:rPr>
              <w:t>;</w:t>
            </w:r>
            <w:proofErr w:type="gramEnd"/>
            <w:r w:rsidRPr="005C4FAD">
              <w:rPr>
                <w:sz w:val="24"/>
                <w:szCs w:val="24"/>
              </w:rPr>
              <w:t xml:space="preserve"> i.e. organising and saving meeting minutes for the project record, </w:t>
            </w:r>
            <w:r w:rsidRPr="005C4FAD">
              <w:rPr>
                <w:sz w:val="24"/>
                <w:szCs w:val="24"/>
              </w:rPr>
              <w:lastRenderedPageBreak/>
              <w:t xml:space="preserve">completing the decision log, ensuring the risk register and Gantt are up-to-date. They will also </w:t>
            </w:r>
            <w:r w:rsidRPr="005C4FAD">
              <w:rPr>
                <w:b/>
                <w:bCs/>
                <w:sz w:val="24"/>
                <w:szCs w:val="24"/>
              </w:rPr>
              <w:t>coordinate project set-up</w:t>
            </w:r>
            <w:r w:rsidRPr="005C4FAD">
              <w:rPr>
                <w:sz w:val="24"/>
                <w:szCs w:val="24"/>
              </w:rPr>
              <w:t xml:space="preserve"> (getting legal documents signed, producing initial drafts of Subcontractor Agreements, ethics assessments, data flow documents for sign-off). </w:t>
            </w:r>
          </w:p>
        </w:tc>
      </w:tr>
      <w:tr w:rsidR="005C4FAD" w:rsidRPr="005C4FAD" w14:paraId="600D23B6" w14:textId="77777777">
        <w:tc>
          <w:tcPr>
            <w:tcW w:w="9918" w:type="dxa"/>
          </w:tcPr>
          <w:p w14:paraId="56ED1360" w14:textId="77777777" w:rsidR="005C4FAD" w:rsidRPr="005C4FAD" w:rsidRDefault="005C4FAD" w:rsidP="005C4FAD">
            <w:pPr>
              <w:spacing w:before="60" w:after="60"/>
              <w:rPr>
                <w:sz w:val="24"/>
                <w:szCs w:val="24"/>
              </w:rPr>
            </w:pPr>
            <w:r w:rsidRPr="005C4FAD">
              <w:rPr>
                <w:b/>
                <w:bCs/>
                <w:color w:val="0070C0"/>
                <w:sz w:val="24"/>
                <w:szCs w:val="24"/>
              </w:rPr>
              <w:lastRenderedPageBreak/>
              <w:t>Evaluation Methods Advisors:</w:t>
            </w:r>
            <w:r w:rsidRPr="005C4FAD">
              <w:rPr>
                <w:sz w:val="24"/>
                <w:szCs w:val="24"/>
              </w:rPr>
              <w:t xml:space="preserve"> We have budgeted for use of an expert panel comprised of Directors in the prime and subcontractor organisations (two organisations) with a track record in the full range of evaluation and research methods (including deliberative techniques, surveys, focus groups and depth interviews, as well as stakeholder engagement, and all impact and process evaluation techniques). Several members of this group also have a strong track record of research into the AI sector and technology development (including the PD for this study). They will hold a technical role, advising on methods design and supporting on activities such as theory of change. They will support the management team by </w:t>
            </w:r>
            <w:r w:rsidRPr="005C4FAD">
              <w:rPr>
                <w:b/>
                <w:bCs/>
                <w:sz w:val="24"/>
                <w:szCs w:val="24"/>
              </w:rPr>
              <w:t xml:space="preserve">quality assuring </w:t>
            </w:r>
            <w:r w:rsidRPr="005C4FAD">
              <w:rPr>
                <w:sz w:val="24"/>
                <w:szCs w:val="24"/>
              </w:rPr>
              <w:t xml:space="preserve">methods, research tools, and analysis (reducing burden on the PD) and support </w:t>
            </w:r>
            <w:r w:rsidRPr="005C4FAD">
              <w:rPr>
                <w:b/>
                <w:bCs/>
                <w:sz w:val="24"/>
                <w:szCs w:val="24"/>
              </w:rPr>
              <w:t>stakeholder engagement</w:t>
            </w:r>
            <w:r w:rsidRPr="005C4FAD">
              <w:rPr>
                <w:sz w:val="24"/>
                <w:szCs w:val="24"/>
              </w:rPr>
              <w:t xml:space="preserve"> as needed. We would also draw on a deputy PD from this pool in case of an absence of the assigned PD. </w:t>
            </w:r>
          </w:p>
        </w:tc>
      </w:tr>
    </w:tbl>
    <w:p w14:paraId="731FF526" w14:textId="77777777" w:rsidR="005C4FAD" w:rsidRPr="005C4FAD" w:rsidRDefault="005C4FAD" w:rsidP="005C4FAD">
      <w:pPr>
        <w:spacing w:before="120" w:after="120" w:line="240" w:lineRule="auto"/>
        <w:rPr>
          <w:rFonts w:ascii="Arial" w:eastAsia="Times New Roman" w:hAnsi="Arial" w:cs="Arial"/>
          <w:kern w:val="2"/>
          <w:sz w:val="24"/>
          <w:szCs w:val="24"/>
          <w:lang w:eastAsia="en-GB"/>
          <w14:ligatures w14:val="standardContextual"/>
        </w:rPr>
      </w:pPr>
      <w:r w:rsidRPr="005C4FAD">
        <w:rPr>
          <w:rFonts w:ascii="Arial" w:eastAsia="Times New Roman" w:hAnsi="Arial" w:cs="Arial"/>
          <w:b/>
          <w:bCs/>
          <w:noProof/>
          <w:color w:val="0070C0"/>
          <w:kern w:val="2"/>
          <w:sz w:val="24"/>
          <w:szCs w:val="24"/>
          <w:lang w:eastAsia="en-GB"/>
          <w14:ligatures w14:val="standardContextual"/>
        </w:rPr>
        <mc:AlternateContent>
          <mc:Choice Requires="wps">
            <w:drawing>
              <wp:anchor distT="45720" distB="45720" distL="114300" distR="114300" simplePos="0" relativeHeight="251658241" behindDoc="0" locked="0" layoutInCell="1" allowOverlap="1" wp14:anchorId="1A1D3B58" wp14:editId="6E7A66BF">
                <wp:simplePos x="0" y="0"/>
                <wp:positionH relativeFrom="margin">
                  <wp:posOffset>3632200</wp:posOffset>
                </wp:positionH>
                <wp:positionV relativeFrom="paragraph">
                  <wp:posOffset>451367</wp:posOffset>
                </wp:positionV>
                <wp:extent cx="2724150" cy="2209800"/>
                <wp:effectExtent l="0" t="0" r="19050" b="19050"/>
                <wp:wrapSquare wrapText="bothSides"/>
                <wp:docPr id="3589519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2209800"/>
                        </a:xfrm>
                        <a:prstGeom prst="rect">
                          <a:avLst/>
                        </a:prstGeom>
                        <a:solidFill>
                          <a:srgbClr val="FFFFFF"/>
                        </a:solidFill>
                        <a:ln w="9525">
                          <a:solidFill>
                            <a:srgbClr val="156082"/>
                          </a:solidFill>
                          <a:miter lim="800000"/>
                          <a:headEnd/>
                          <a:tailEnd/>
                        </a:ln>
                      </wps:spPr>
                      <wps:txbx>
                        <w:txbxContent>
                          <w:p w14:paraId="7562227D" w14:textId="77777777" w:rsidR="005C4FAD" w:rsidRDefault="005C4FAD" w:rsidP="005C4FAD">
                            <w:pPr>
                              <w:spacing w:after="60" w:line="240" w:lineRule="auto"/>
                              <w:rPr>
                                <w:b/>
                                <w:bCs/>
                              </w:rPr>
                            </w:pPr>
                            <w:r>
                              <w:rPr>
                                <w:b/>
                                <w:bCs/>
                              </w:rPr>
                              <w:t>Codes of conduct</w:t>
                            </w:r>
                          </w:p>
                          <w:p w14:paraId="50D1FC10" w14:textId="77777777" w:rsidR="005C4FAD" w:rsidRPr="005C4FAD" w:rsidRDefault="005C4FAD" w:rsidP="005C4FAD">
                            <w:pPr>
                              <w:rPr>
                                <w:rFonts w:ascii="Arial" w:hAnsi="Arial" w:cs="Arial"/>
                                <w:color w:val="000000"/>
                                <w:sz w:val="20"/>
                                <w:szCs w:val="20"/>
                              </w:rPr>
                            </w:pPr>
                            <w:r w:rsidRPr="005C4FAD">
                              <w:rPr>
                                <w:rFonts w:ascii="Arial" w:hAnsi="Arial" w:cs="Arial"/>
                                <w:color w:val="000000"/>
                                <w:sz w:val="20"/>
                                <w:szCs w:val="20"/>
                              </w:rPr>
                              <w:t xml:space="preserve">We are accredited with ISO 20252, 27001 and 9001, and is one of only two companies to achieve accreditation under </w:t>
                            </w:r>
                            <w:hyperlink r:id="rId37" w:history="1">
                              <w:r w:rsidRPr="00542BA1">
                                <w:rPr>
                                  <w:rStyle w:val="Hyperlink1"/>
                                  <w:rFonts w:ascii="Arial" w:hAnsi="Arial" w:cs="Arial"/>
                                  <w:sz w:val="20"/>
                                  <w:szCs w:val="20"/>
                                </w:rPr>
                                <w:t>Market Research Quality Standards (MRQSA)</w:t>
                              </w:r>
                            </w:hyperlink>
                            <w:r w:rsidRPr="005C4FAD">
                              <w:rPr>
                                <w:rFonts w:ascii="Arial" w:hAnsi="Arial" w:cs="Arial"/>
                                <w:color w:val="000000"/>
                                <w:sz w:val="20"/>
                                <w:szCs w:val="20"/>
                              </w:rPr>
                              <w:t>. All employees are trained in and follow the MRS Code of Conduct as minimum requirements. We are therefore confident that we will easily meet the Codes of Conduct we have signed for this assignment (the UKRIO Code of Practice for Research, and Government Commercial Function Code of Conduct).</w:t>
                            </w:r>
                          </w:p>
                          <w:p w14:paraId="22BFC5F6" w14:textId="77777777" w:rsidR="005C4FAD" w:rsidRDefault="005C4FAD" w:rsidP="005C4FAD">
                            <w:pPr>
                              <w:spacing w:after="60" w:line="240" w:lineRule="auto"/>
                              <w:rPr>
                                <w:b/>
                                <w:bCs/>
                              </w:rPr>
                            </w:pPr>
                          </w:p>
                          <w:p w14:paraId="321A212B" w14:textId="77777777" w:rsidR="005C4FAD" w:rsidRDefault="005C4FAD" w:rsidP="005C4FAD">
                            <w:pPr>
                              <w:spacing w:after="60"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1D3B58" id="_x0000_t202" coordsize="21600,21600" o:spt="202" path="m,l,21600r21600,l21600,xe">
                <v:stroke joinstyle="miter"/>
                <v:path gradientshapeok="t" o:connecttype="rect"/>
              </v:shapetype>
              <v:shape id="Text Box 2" o:spid="_x0000_s1026" type="#_x0000_t202" style="position:absolute;margin-left:286pt;margin-top:35.55pt;width:214.5pt;height:174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" strokecolor="#156082">
                <v:textbox>
                  <w:txbxContent>
                    <w:p w14:paraId="7562227D" w14:textId="77777777" w:rsidR="005C4FAD" w:rsidRDefault="005C4FAD" w:rsidP="005C4FAD">
                      <w:pPr>
                        <w:spacing w:after="60" w:line="240" w:lineRule="auto"/>
                        <w:rPr>
                          <w:b/>
                          <w:bCs/>
                        </w:rPr>
                      </w:pPr>
                      <w:r>
                        <w:rPr>
                          <w:b/>
                          <w:bCs/>
                        </w:rPr>
                        <w:t>Codes of conduct</w:t>
                      </w:r>
                    </w:p>
                    <w:p w14:paraId="50D1FC10" w14:textId="77777777" w:rsidR="005C4FAD" w:rsidRPr="005C4FAD" w:rsidRDefault="005C4FAD" w:rsidP="005C4FAD">
                      <w:pPr>
                        <w:rPr>
                          <w:rFonts w:ascii="Arial" w:hAnsi="Arial" w:cs="Arial"/>
                          <w:color w:val="000000"/>
                          <w:sz w:val="20"/>
                          <w:szCs w:val="20"/>
                        </w:rPr>
                      </w:pPr>
                      <w:r w:rsidRPr="005C4FAD">
                        <w:rPr>
                          <w:rFonts w:ascii="Arial" w:hAnsi="Arial" w:cs="Arial"/>
                          <w:color w:val="000000"/>
                          <w:sz w:val="20"/>
                          <w:szCs w:val="20"/>
                        </w:rPr>
                        <w:t xml:space="preserve">We are accredited with ISO 20252, 27001 and 9001, and is one of only two companies to achieve accreditation under </w:t>
                      </w:r>
                      <w:hyperlink r:id="rId38" w:history="1">
                        <w:r w:rsidRPr="00542BA1">
                          <w:rPr>
                            <w:rStyle w:val="Hyperlink1"/>
                            <w:rFonts w:ascii="Arial" w:hAnsi="Arial" w:cs="Arial"/>
                            <w:sz w:val="20"/>
                            <w:szCs w:val="20"/>
                          </w:rPr>
                          <w:t>Market Research Quality Standards (MRQSA)</w:t>
                        </w:r>
                      </w:hyperlink>
                      <w:r w:rsidRPr="005C4FAD">
                        <w:rPr>
                          <w:rFonts w:ascii="Arial" w:hAnsi="Arial" w:cs="Arial"/>
                          <w:color w:val="000000"/>
                          <w:sz w:val="20"/>
                          <w:szCs w:val="20"/>
                        </w:rPr>
                        <w:t>. All employees are trained in and follow the MRS Code of Conduct as minimum requirements. We are therefore confident that we will easily meet the Codes of Conduct we have signed for this assignment (the UKRIO Code of Practice for Research, and Government Commercial Function Code of Conduct).</w:t>
                      </w:r>
                    </w:p>
                    <w:p w14:paraId="22BFC5F6" w14:textId="77777777" w:rsidR="005C4FAD" w:rsidRDefault="005C4FAD" w:rsidP="005C4FAD">
                      <w:pPr>
                        <w:spacing w:after="60" w:line="240" w:lineRule="auto"/>
                        <w:rPr>
                          <w:b/>
                          <w:bCs/>
                        </w:rPr>
                      </w:pPr>
                    </w:p>
                    <w:p w14:paraId="321A212B" w14:textId="77777777" w:rsidR="005C4FAD" w:rsidRDefault="005C4FAD" w:rsidP="005C4FAD">
                      <w:pPr>
                        <w:spacing w:after="60" w:line="240" w:lineRule="auto"/>
                      </w:pPr>
                    </w:p>
                  </w:txbxContent>
                </v:textbox>
                <w10:wrap type="square" anchorx="margin"/>
              </v:shape>
            </w:pict>
          </mc:Fallback>
        </mc:AlternateContent>
      </w:r>
      <w:r w:rsidRPr="005C4FAD">
        <w:rPr>
          <w:rFonts w:ascii="Arial" w:eastAsia="Times New Roman" w:hAnsi="Arial" w:cs="Arial"/>
          <w:b/>
          <w:bCs/>
          <w:color w:val="0070C0"/>
          <w:kern w:val="2"/>
          <w:sz w:val="24"/>
          <w:szCs w:val="24"/>
          <w:lang w:eastAsia="en-GB"/>
          <w14:ligatures w14:val="standardContextual"/>
        </w:rPr>
        <w:t xml:space="preserve">Contract Governance: </w:t>
      </w:r>
      <w:r w:rsidRPr="005C4FAD">
        <w:rPr>
          <w:rFonts w:ascii="Arial" w:eastAsia="Times New Roman" w:hAnsi="Arial" w:cs="Arial"/>
          <w:kern w:val="2"/>
          <w:sz w:val="24"/>
          <w:szCs w:val="24"/>
          <w:lang w:eastAsia="en-GB"/>
          <w14:ligatures w14:val="standardContextual"/>
        </w:rPr>
        <w:t xml:space="preserve">As described in the table above, contract and project governance will primarily be the responsibility of the PD, with support from contract directors and managers in the subcontractor teams, and colleagues. Governance within this contract will entail ensuring </w:t>
      </w:r>
      <w:r w:rsidRPr="005C4FAD">
        <w:rPr>
          <w:rFonts w:ascii="Arial" w:eastAsia="Times New Roman" w:hAnsi="Arial" w:cs="Arial"/>
          <w:b/>
          <w:bCs/>
          <w:kern w:val="2"/>
          <w:sz w:val="24"/>
          <w:szCs w:val="24"/>
          <w:lang w:eastAsia="en-GB"/>
          <w14:ligatures w14:val="standardContextual"/>
        </w:rPr>
        <w:t>adherence to contractual obligations and the several Codes of Conduct</w:t>
      </w:r>
      <w:r w:rsidRPr="005C4FAD">
        <w:rPr>
          <w:rFonts w:ascii="Arial" w:eastAsia="Times New Roman" w:hAnsi="Arial" w:cs="Arial"/>
          <w:kern w:val="2"/>
          <w:sz w:val="24"/>
          <w:szCs w:val="24"/>
          <w:lang w:eastAsia="en-GB"/>
          <w14:ligatures w14:val="standardContextual"/>
        </w:rPr>
        <w:t xml:space="preserve"> we have agreed to in bidding for this assignment, as well as to best practice in research delivery. It will entail providing </w:t>
      </w:r>
      <w:r w:rsidRPr="005C4FAD">
        <w:rPr>
          <w:rFonts w:ascii="Arial" w:eastAsia="Times New Roman" w:hAnsi="Arial" w:cs="Arial"/>
          <w:b/>
          <w:bCs/>
          <w:kern w:val="2"/>
          <w:sz w:val="24"/>
          <w:szCs w:val="24"/>
          <w:lang w:eastAsia="en-GB"/>
          <w14:ligatures w14:val="standardContextual"/>
        </w:rPr>
        <w:t>overall direction</w:t>
      </w:r>
      <w:r w:rsidRPr="005C4FAD">
        <w:rPr>
          <w:rFonts w:ascii="Arial" w:eastAsia="Times New Roman" w:hAnsi="Arial" w:cs="Arial"/>
          <w:kern w:val="2"/>
          <w:sz w:val="24"/>
          <w:szCs w:val="24"/>
          <w:lang w:eastAsia="en-GB"/>
          <w14:ligatures w14:val="standardContextual"/>
        </w:rPr>
        <w:t xml:space="preserve"> for the MEL assignment, advising on methodological, analytical and management decisions to support executive members of the team. It will involve </w:t>
      </w:r>
      <w:r w:rsidRPr="005C4FAD">
        <w:rPr>
          <w:rFonts w:ascii="Arial" w:eastAsia="Times New Roman" w:hAnsi="Arial" w:cs="Arial"/>
          <w:b/>
          <w:bCs/>
          <w:kern w:val="2"/>
          <w:sz w:val="24"/>
          <w:szCs w:val="24"/>
          <w:lang w:eastAsia="en-GB"/>
          <w14:ligatures w14:val="standardContextual"/>
        </w:rPr>
        <w:t>listening carefully</w:t>
      </w:r>
      <w:r w:rsidRPr="005C4FAD">
        <w:rPr>
          <w:rFonts w:ascii="Arial" w:eastAsia="Times New Roman" w:hAnsi="Arial" w:cs="Arial"/>
          <w:kern w:val="2"/>
          <w:sz w:val="24"/>
          <w:szCs w:val="24"/>
          <w:lang w:eastAsia="en-GB"/>
          <w14:ligatures w14:val="standardContextual"/>
        </w:rPr>
        <w:t xml:space="preserve"> to the client and ensuring their requirements and wishes are properly understood and met as much as possible, with any requests not met being clearly explained and justified. Where useful, the PD can meet with (</w:t>
      </w:r>
      <w:proofErr w:type="spellStart"/>
      <w:r w:rsidRPr="005C4FAD">
        <w:rPr>
          <w:rFonts w:ascii="Arial" w:eastAsia="Times New Roman" w:hAnsi="Arial" w:cs="Arial"/>
          <w:kern w:val="2"/>
          <w:sz w:val="24"/>
          <w:szCs w:val="24"/>
          <w:lang w:eastAsia="en-GB"/>
          <w14:ligatures w14:val="standardContextual"/>
        </w:rPr>
        <w:t>i</w:t>
      </w:r>
      <w:proofErr w:type="spellEnd"/>
      <w:r w:rsidRPr="005C4FAD">
        <w:rPr>
          <w:rFonts w:ascii="Arial" w:eastAsia="Times New Roman" w:hAnsi="Arial" w:cs="Arial"/>
          <w:kern w:val="2"/>
          <w:sz w:val="24"/>
          <w:szCs w:val="24"/>
          <w:lang w:eastAsia="en-GB"/>
          <w14:ligatures w14:val="standardContextual"/>
        </w:rPr>
        <w:t>) the client on a quarterly basis at contract review meetings, as well as at PMO meetings as needed, (ii) subcontractor managers on a monthly basis, and (iii) with the project manager as regularly as needed through communications on Teams/telephone/person and by email. To support transparent and deliverable governance, we will develop, at the start of the contract, a ‘RACI’ framework setting out roles and responsibilities (by Phase or activity/task), which we will share with DSIT for input. This will be agreed with all team members and tracked throughout the contract.</w:t>
      </w:r>
    </w:p>
    <w:p w14:paraId="2C0CB28F" w14:textId="77777777" w:rsidR="005C4FAD" w:rsidRPr="005C4FAD" w:rsidRDefault="005C4FAD" w:rsidP="005C4FAD">
      <w:pPr>
        <w:spacing w:after="120" w:line="240" w:lineRule="auto"/>
        <w:rPr>
          <w:rFonts w:ascii="Arial" w:eastAsia="Times New Roman" w:hAnsi="Arial" w:cs="Arial"/>
          <w:color w:val="000000"/>
          <w:kern w:val="2"/>
          <w:sz w:val="24"/>
          <w:szCs w:val="24"/>
          <w:lang w:eastAsia="en-GB"/>
          <w14:ligatures w14:val="standardContextual"/>
        </w:rPr>
      </w:pPr>
      <w:r w:rsidRPr="005C4FAD">
        <w:rPr>
          <w:rFonts w:ascii="Arial" w:eastAsia="Times New Roman" w:hAnsi="Arial" w:cs="Arial"/>
          <w:b/>
          <w:bCs/>
          <w:color w:val="0070C0"/>
          <w:kern w:val="2"/>
          <w:sz w:val="24"/>
          <w:szCs w:val="24"/>
          <w:lang w:eastAsia="en-GB"/>
          <w14:ligatures w14:val="standardContextual"/>
        </w:rPr>
        <w:t xml:space="preserve">Project management tools: </w:t>
      </w:r>
      <w:r w:rsidRPr="005C4FAD">
        <w:rPr>
          <w:rFonts w:ascii="Arial" w:eastAsia="Times New Roman" w:hAnsi="Arial" w:cs="Arial"/>
          <w:color w:val="000000"/>
          <w:kern w:val="2"/>
          <w:sz w:val="24"/>
          <w:szCs w:val="24"/>
          <w:lang w:eastAsia="en-GB"/>
          <w14:ligatures w14:val="standardContextual"/>
        </w:rPr>
        <w:t xml:space="preserve">The PM tools we intend to use are described in the table below: </w:t>
      </w:r>
    </w:p>
    <w:p w14:paraId="7E2AE63F" w14:textId="77777777" w:rsidR="005C4FAD" w:rsidRPr="005C4FAD" w:rsidRDefault="005C4FAD" w:rsidP="005C4FAD">
      <w:pPr>
        <w:spacing w:before="60" w:after="60" w:line="240" w:lineRule="auto"/>
        <w:rPr>
          <w:rFonts w:ascii="Arial" w:eastAsia="Times New Roman" w:hAnsi="Arial" w:cs="Arial"/>
          <w:b/>
          <w:bCs/>
          <w:sz w:val="24"/>
          <w:szCs w:val="24"/>
          <w:lang w:eastAsia="en-GB"/>
        </w:rPr>
      </w:pPr>
      <w:r w:rsidRPr="005C4FAD">
        <w:rPr>
          <w:rFonts w:ascii="Arial" w:eastAsia="Times New Roman" w:hAnsi="Arial" w:cs="Arial"/>
          <w:b/>
          <w:bCs/>
          <w:sz w:val="24"/>
          <w:szCs w:val="24"/>
          <w:lang w:eastAsia="en-GB"/>
        </w:rPr>
        <w:t>Table 2. Description of proposed PM tools</w:t>
      </w:r>
    </w:p>
    <w:tbl>
      <w:tblPr>
        <w:tblStyle w:val="GridTable4-Accent11"/>
        <w:tblW w:w="10060" w:type="dxa"/>
        <w:tblLook w:val="04A0" w:firstRow="1" w:lastRow="0" w:firstColumn="1" w:lastColumn="0" w:noHBand="0" w:noVBand="1"/>
      </w:tblPr>
      <w:tblGrid>
        <w:gridCol w:w="1857"/>
        <w:gridCol w:w="1933"/>
        <w:gridCol w:w="6270"/>
      </w:tblGrid>
      <w:tr w:rsidR="005C4FAD" w:rsidRPr="005C4FAD" w14:paraId="7A2A6BC9" w14:textId="77777777" w:rsidTr="005C4F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4ECFF7F8" w14:textId="77777777" w:rsidR="005C4FAD" w:rsidRPr="005C4FAD" w:rsidRDefault="005C4FAD" w:rsidP="005C4FAD">
            <w:pPr>
              <w:spacing w:before="60" w:after="60"/>
              <w:rPr>
                <w:rFonts w:ascii="Arial" w:eastAsia="Aptos" w:hAnsi="Arial" w:cs="Arial"/>
                <w:sz w:val="24"/>
                <w:szCs w:val="24"/>
              </w:rPr>
            </w:pPr>
            <w:r w:rsidRPr="005C4FAD">
              <w:rPr>
                <w:rFonts w:ascii="Arial" w:eastAsia="Aptos" w:hAnsi="Arial" w:cs="Arial"/>
                <w:sz w:val="24"/>
                <w:szCs w:val="24"/>
              </w:rPr>
              <w:lastRenderedPageBreak/>
              <w:t>Tool</w:t>
            </w:r>
          </w:p>
        </w:tc>
        <w:tc>
          <w:tcPr>
            <w:tcW w:w="1933" w:type="dxa"/>
          </w:tcPr>
          <w:p w14:paraId="1B68D351" w14:textId="77777777" w:rsidR="005C4FAD" w:rsidRPr="005C4FAD" w:rsidRDefault="005C4FAD" w:rsidP="005C4FAD">
            <w:pPr>
              <w:spacing w:before="60" w:after="60"/>
              <w:cnfStyle w:val="100000000000" w:firstRow="1" w:lastRow="0" w:firstColumn="0" w:lastColumn="0" w:oddVBand="0" w:evenVBand="0" w:oddHBand="0" w:evenHBand="0" w:firstRowFirstColumn="0" w:firstRowLastColumn="0" w:lastRowFirstColumn="0" w:lastRowLastColumn="0"/>
              <w:rPr>
                <w:rFonts w:ascii="Arial" w:eastAsia="Aptos" w:hAnsi="Arial" w:cs="Arial"/>
                <w:sz w:val="24"/>
                <w:szCs w:val="24"/>
              </w:rPr>
            </w:pPr>
            <w:r w:rsidRPr="005C4FAD">
              <w:rPr>
                <w:rFonts w:ascii="Arial" w:eastAsia="Aptos" w:hAnsi="Arial" w:cs="Arial"/>
                <w:sz w:val="24"/>
                <w:szCs w:val="24"/>
              </w:rPr>
              <w:t>Management process supported</w:t>
            </w:r>
          </w:p>
        </w:tc>
        <w:tc>
          <w:tcPr>
            <w:tcW w:w="6270" w:type="dxa"/>
          </w:tcPr>
          <w:p w14:paraId="1F7F8552" w14:textId="77777777" w:rsidR="005C4FAD" w:rsidRPr="005C4FAD" w:rsidRDefault="005C4FAD" w:rsidP="005C4FAD">
            <w:pPr>
              <w:spacing w:before="60" w:after="60"/>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lang w:eastAsia="en-GB"/>
              </w:rPr>
            </w:pPr>
            <w:r w:rsidRPr="005C4FAD">
              <w:rPr>
                <w:rFonts w:ascii="Arial" w:eastAsia="Aptos" w:hAnsi="Arial" w:cs="Arial"/>
                <w:sz w:val="24"/>
                <w:szCs w:val="24"/>
              </w:rPr>
              <w:t>Description and notes</w:t>
            </w:r>
          </w:p>
        </w:tc>
      </w:tr>
      <w:tr w:rsidR="005C4FAD" w:rsidRPr="005C4FAD" w14:paraId="606707BF" w14:textId="77777777" w:rsidTr="005C4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4875E56C" w14:textId="77777777" w:rsidR="005C4FAD" w:rsidRPr="005C4FAD" w:rsidRDefault="005C4FAD" w:rsidP="005C4FAD">
            <w:pPr>
              <w:spacing w:before="60" w:after="60"/>
              <w:rPr>
                <w:rFonts w:ascii="Arial" w:eastAsia="Aptos" w:hAnsi="Arial" w:cs="Arial"/>
                <w:sz w:val="24"/>
                <w:szCs w:val="24"/>
              </w:rPr>
            </w:pPr>
            <w:r w:rsidRPr="005C4FAD">
              <w:rPr>
                <w:rFonts w:ascii="Arial" w:eastAsia="Aptos" w:hAnsi="Arial" w:cs="Arial"/>
                <w:sz w:val="24"/>
                <w:szCs w:val="24"/>
              </w:rPr>
              <w:t>Project management plan</w:t>
            </w:r>
          </w:p>
        </w:tc>
        <w:tc>
          <w:tcPr>
            <w:tcW w:w="1933" w:type="dxa"/>
          </w:tcPr>
          <w:p w14:paraId="6DEF2D2F"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Aptos" w:hAnsi="Arial" w:cs="Arial"/>
                <w:color w:val="000000"/>
                <w:sz w:val="24"/>
                <w:szCs w:val="24"/>
              </w:rPr>
            </w:pPr>
            <w:r w:rsidRPr="005C4FAD">
              <w:rPr>
                <w:rFonts w:ascii="Arial" w:eastAsia="Aptos" w:hAnsi="Arial" w:cs="Arial"/>
                <w:color w:val="000000"/>
                <w:sz w:val="24"/>
                <w:szCs w:val="24"/>
              </w:rPr>
              <w:t>Quality project management</w:t>
            </w:r>
          </w:p>
        </w:tc>
        <w:tc>
          <w:tcPr>
            <w:tcW w:w="6270" w:type="dxa"/>
          </w:tcPr>
          <w:p w14:paraId="0BA552D2"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Within the first month of </w:t>
            </w:r>
            <w:proofErr w:type="gramStart"/>
            <w:r w:rsidRPr="005C4FAD">
              <w:rPr>
                <w:rFonts w:ascii="Arial" w:eastAsia="Times New Roman" w:hAnsi="Arial" w:cs="Arial"/>
                <w:color w:val="000000"/>
                <w:sz w:val="24"/>
                <w:szCs w:val="24"/>
                <w:lang w:eastAsia="en-GB"/>
              </w:rPr>
              <w:t>contract</w:t>
            </w:r>
            <w:proofErr w:type="gramEnd"/>
            <w:r w:rsidRPr="005C4FAD">
              <w:rPr>
                <w:rFonts w:ascii="Arial" w:eastAsia="Times New Roman" w:hAnsi="Arial" w:cs="Arial"/>
                <w:color w:val="000000"/>
                <w:sz w:val="24"/>
                <w:szCs w:val="24"/>
                <w:lang w:eastAsia="en-GB"/>
              </w:rPr>
              <w:t xml:space="preserve"> we will produce a PM Plan setting out how we intend to meet project KPIs, our timelines and milestones, how we will achieve these, roles and responsibilities and processes, e.g. for communication, escalation, decision-making, project adaptation, etc.</w:t>
            </w:r>
          </w:p>
        </w:tc>
      </w:tr>
      <w:tr w:rsidR="005C4FAD" w:rsidRPr="005C4FAD" w14:paraId="0324CC20" w14:textId="77777777">
        <w:tc>
          <w:tcPr>
            <w:cnfStyle w:val="001000000000" w:firstRow="0" w:lastRow="0" w:firstColumn="1" w:lastColumn="0" w:oddVBand="0" w:evenVBand="0" w:oddHBand="0" w:evenHBand="0" w:firstRowFirstColumn="0" w:firstRowLastColumn="0" w:lastRowFirstColumn="0" w:lastRowLastColumn="0"/>
            <w:tcW w:w="1857" w:type="dxa"/>
          </w:tcPr>
          <w:p w14:paraId="6BA112D6" w14:textId="77777777" w:rsidR="005C4FAD" w:rsidRPr="005C4FAD" w:rsidRDefault="005C4FAD" w:rsidP="005C4FAD">
            <w:pPr>
              <w:spacing w:before="60" w:after="60"/>
              <w:rPr>
                <w:rFonts w:ascii="Arial" w:eastAsia="Aptos" w:hAnsi="Arial" w:cs="Arial"/>
                <w:color w:val="000000"/>
                <w:sz w:val="24"/>
                <w:szCs w:val="24"/>
              </w:rPr>
            </w:pPr>
            <w:r w:rsidRPr="005C4FAD">
              <w:rPr>
                <w:rFonts w:ascii="Arial" w:eastAsia="Aptos" w:hAnsi="Arial" w:cs="Arial"/>
                <w:sz w:val="24"/>
                <w:szCs w:val="24"/>
              </w:rPr>
              <w:t>Statement of work</w:t>
            </w:r>
          </w:p>
        </w:tc>
        <w:tc>
          <w:tcPr>
            <w:tcW w:w="1933" w:type="dxa"/>
            <w:vMerge w:val="restart"/>
          </w:tcPr>
          <w:p w14:paraId="1D5C7D87"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 w:val="24"/>
                <w:szCs w:val="24"/>
              </w:rPr>
            </w:pPr>
            <w:r w:rsidRPr="005C4FAD">
              <w:rPr>
                <w:rFonts w:ascii="Arial" w:eastAsia="Aptos" w:hAnsi="Arial" w:cs="Arial"/>
                <w:color w:val="000000"/>
                <w:sz w:val="24"/>
                <w:szCs w:val="24"/>
              </w:rPr>
              <w:t xml:space="preserve">Governance, contract scope, obligations and agreements </w:t>
            </w:r>
          </w:p>
          <w:p w14:paraId="0048592C"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 w:val="24"/>
                <w:szCs w:val="24"/>
              </w:rPr>
            </w:pPr>
          </w:p>
          <w:p w14:paraId="72919824"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Aptos" w:hAnsi="Arial" w:cs="Arial"/>
                <w:i/>
                <w:iCs/>
                <w:color w:val="000000"/>
                <w:sz w:val="24"/>
                <w:szCs w:val="24"/>
              </w:rPr>
            </w:pPr>
            <w:r w:rsidRPr="005C4FAD">
              <w:rPr>
                <w:rFonts w:ascii="Arial" w:eastAsia="Aptos" w:hAnsi="Arial" w:cs="Arial"/>
                <w:i/>
                <w:iCs/>
                <w:color w:val="000000"/>
                <w:sz w:val="24"/>
                <w:szCs w:val="24"/>
              </w:rPr>
              <w:t>As above</w:t>
            </w:r>
          </w:p>
        </w:tc>
        <w:tc>
          <w:tcPr>
            <w:tcW w:w="6270" w:type="dxa"/>
          </w:tcPr>
          <w:p w14:paraId="56868EE5"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Sets out agreed objectives and scope of work, timelines, milestones and budget, activities and owners. The proposal will act as the Statement of Work until the M&amp;E Plan is developed at the close of the Scoping Phase.</w:t>
            </w:r>
          </w:p>
        </w:tc>
      </w:tr>
      <w:tr w:rsidR="005C4FAD" w:rsidRPr="005C4FAD" w14:paraId="386F1923" w14:textId="77777777" w:rsidTr="005C4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35B78E70" w14:textId="77777777" w:rsidR="005C4FAD" w:rsidRPr="005C4FAD" w:rsidRDefault="005C4FAD" w:rsidP="005C4FAD">
            <w:pPr>
              <w:spacing w:before="60" w:after="60"/>
              <w:rPr>
                <w:rFonts w:ascii="Arial" w:eastAsia="Aptos" w:hAnsi="Arial" w:cs="Arial"/>
                <w:sz w:val="24"/>
                <w:szCs w:val="24"/>
              </w:rPr>
            </w:pPr>
            <w:r w:rsidRPr="005C4FAD">
              <w:rPr>
                <w:rFonts w:ascii="Arial" w:eastAsia="Aptos" w:hAnsi="Arial" w:cs="Arial"/>
                <w:sz w:val="24"/>
                <w:szCs w:val="24"/>
              </w:rPr>
              <w:t>Decision log and minutes of weekly calls</w:t>
            </w:r>
          </w:p>
        </w:tc>
        <w:tc>
          <w:tcPr>
            <w:tcW w:w="1933" w:type="dxa"/>
            <w:vMerge/>
          </w:tcPr>
          <w:p w14:paraId="5DE03BF9"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Aptos" w:hAnsi="Arial" w:cs="Arial"/>
                <w:color w:val="000000"/>
                <w:sz w:val="24"/>
                <w:szCs w:val="24"/>
              </w:rPr>
            </w:pPr>
          </w:p>
        </w:tc>
        <w:tc>
          <w:tcPr>
            <w:tcW w:w="6270" w:type="dxa"/>
          </w:tcPr>
          <w:p w14:paraId="7E69B5C4"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Aptos" w:hAnsi="Arial" w:cs="Arial"/>
                <w:sz w:val="24"/>
                <w:szCs w:val="24"/>
              </w:rPr>
              <w:t>We will produce minutes at the close of every PMO and additional client meeting and share these with DSIT within 48hrs. Decisions will be marked and logged in a tracker</w:t>
            </w:r>
          </w:p>
        </w:tc>
      </w:tr>
      <w:tr w:rsidR="005C4FAD" w:rsidRPr="005C4FAD" w14:paraId="6DBEA137" w14:textId="77777777">
        <w:tc>
          <w:tcPr>
            <w:cnfStyle w:val="001000000000" w:firstRow="0" w:lastRow="0" w:firstColumn="1" w:lastColumn="0" w:oddVBand="0" w:evenVBand="0" w:oddHBand="0" w:evenHBand="0" w:firstRowFirstColumn="0" w:firstRowLastColumn="0" w:lastRowFirstColumn="0" w:lastRowLastColumn="0"/>
            <w:tcW w:w="1857" w:type="dxa"/>
          </w:tcPr>
          <w:p w14:paraId="19243426" w14:textId="77777777" w:rsidR="005C4FAD" w:rsidRPr="005C4FAD" w:rsidRDefault="005C4FAD" w:rsidP="005C4FAD">
            <w:pPr>
              <w:spacing w:before="60" w:after="60"/>
              <w:rPr>
                <w:rFonts w:ascii="Arial" w:eastAsia="Aptos" w:hAnsi="Arial" w:cs="Arial"/>
                <w:sz w:val="24"/>
                <w:szCs w:val="24"/>
              </w:rPr>
            </w:pPr>
            <w:r w:rsidRPr="005C4FAD">
              <w:rPr>
                <w:rFonts w:ascii="Arial" w:eastAsia="Aptos" w:hAnsi="Arial" w:cs="Arial"/>
                <w:sz w:val="24"/>
                <w:szCs w:val="24"/>
              </w:rPr>
              <w:t>Responsibility assignment framework</w:t>
            </w:r>
          </w:p>
        </w:tc>
        <w:tc>
          <w:tcPr>
            <w:tcW w:w="1933" w:type="dxa"/>
          </w:tcPr>
          <w:p w14:paraId="1CF166E1"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 w:val="24"/>
                <w:szCs w:val="24"/>
              </w:rPr>
            </w:pPr>
            <w:r w:rsidRPr="005C4FAD">
              <w:rPr>
                <w:rFonts w:ascii="Arial" w:eastAsia="Aptos" w:hAnsi="Arial" w:cs="Arial"/>
                <w:color w:val="000000"/>
                <w:sz w:val="24"/>
                <w:szCs w:val="24"/>
              </w:rPr>
              <w:t xml:space="preserve">Team management </w:t>
            </w:r>
          </w:p>
        </w:tc>
        <w:tc>
          <w:tcPr>
            <w:tcW w:w="6270" w:type="dxa"/>
          </w:tcPr>
          <w:p w14:paraId="74048DBE"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This will be used to state, for each key task and output of the contract who is responsible (PM or strand lead), accountable (usually PD), consulted (e.g. technical advisors), and informed (e.g. DSIT).</w:t>
            </w:r>
          </w:p>
        </w:tc>
      </w:tr>
      <w:tr w:rsidR="005C4FAD" w:rsidRPr="005C4FAD" w14:paraId="54A0972D" w14:textId="77777777" w:rsidTr="005C4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453BAA19" w14:textId="77777777" w:rsidR="005C4FAD" w:rsidRPr="005C4FAD" w:rsidRDefault="005C4FAD" w:rsidP="005C4FAD">
            <w:pPr>
              <w:spacing w:before="60" w:after="60"/>
              <w:rPr>
                <w:rFonts w:ascii="Arial" w:eastAsia="Aptos" w:hAnsi="Arial" w:cs="Arial"/>
                <w:sz w:val="24"/>
                <w:szCs w:val="24"/>
              </w:rPr>
            </w:pPr>
            <w:r w:rsidRPr="005C4FAD">
              <w:rPr>
                <w:rFonts w:ascii="Arial" w:eastAsia="Aptos" w:hAnsi="Arial" w:cs="Arial"/>
                <w:sz w:val="24"/>
                <w:szCs w:val="24"/>
              </w:rPr>
              <w:t>Budget / pricing schedule</w:t>
            </w:r>
          </w:p>
        </w:tc>
        <w:tc>
          <w:tcPr>
            <w:tcW w:w="1933" w:type="dxa"/>
          </w:tcPr>
          <w:p w14:paraId="1CF9694F"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Aptos" w:hAnsi="Arial" w:cs="Arial"/>
                <w:color w:val="000000"/>
                <w:sz w:val="24"/>
                <w:szCs w:val="24"/>
              </w:rPr>
            </w:pPr>
            <w:r w:rsidRPr="005C4FAD">
              <w:rPr>
                <w:rFonts w:ascii="Arial" w:eastAsia="Aptos" w:hAnsi="Arial" w:cs="Arial"/>
                <w:color w:val="000000"/>
                <w:sz w:val="24"/>
                <w:szCs w:val="24"/>
              </w:rPr>
              <w:t>Financial management</w:t>
            </w:r>
          </w:p>
        </w:tc>
        <w:tc>
          <w:tcPr>
            <w:tcW w:w="6270" w:type="dxa"/>
          </w:tcPr>
          <w:p w14:paraId="2749C894" w14:textId="77777777" w:rsidR="005C4FAD" w:rsidRPr="005C4FAD" w:rsidRDefault="005C4FAD" w:rsidP="005C4FA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Aptos" w:hAnsi="Arial" w:cs="Arial"/>
                <w:sz w:val="24"/>
                <w:szCs w:val="24"/>
              </w:rPr>
              <w:t>In line with the requirements of this contract we will report regularly on project finances. Adherence to day budgets per task will be monitored as part of risk management (see below) plus monthly financial check-in at PMO meetings.</w:t>
            </w:r>
          </w:p>
        </w:tc>
      </w:tr>
      <w:tr w:rsidR="005C4FAD" w:rsidRPr="005C4FAD" w14:paraId="3B352800" w14:textId="77777777">
        <w:tc>
          <w:tcPr>
            <w:cnfStyle w:val="001000000000" w:firstRow="0" w:lastRow="0" w:firstColumn="1" w:lastColumn="0" w:oddVBand="0" w:evenVBand="0" w:oddHBand="0" w:evenHBand="0" w:firstRowFirstColumn="0" w:firstRowLastColumn="0" w:lastRowFirstColumn="0" w:lastRowLastColumn="0"/>
            <w:tcW w:w="1857" w:type="dxa"/>
          </w:tcPr>
          <w:p w14:paraId="2FD48924" w14:textId="77777777" w:rsidR="005C4FAD" w:rsidRPr="005C4FAD" w:rsidRDefault="005C4FAD" w:rsidP="005C4FAD">
            <w:pPr>
              <w:spacing w:before="60" w:after="60"/>
              <w:rPr>
                <w:rFonts w:ascii="Arial" w:eastAsia="Times New Roman" w:hAnsi="Arial" w:cs="Arial"/>
                <w:color w:val="000000"/>
                <w:sz w:val="24"/>
                <w:szCs w:val="24"/>
                <w:lang w:eastAsia="en-GB"/>
              </w:rPr>
            </w:pPr>
            <w:r w:rsidRPr="005C4FAD">
              <w:rPr>
                <w:rFonts w:ascii="Arial" w:eastAsia="Aptos" w:hAnsi="Arial" w:cs="Arial"/>
                <w:color w:val="000000"/>
                <w:sz w:val="24"/>
                <w:szCs w:val="24"/>
              </w:rPr>
              <w:t>Work plan / Gantt</w:t>
            </w:r>
          </w:p>
        </w:tc>
        <w:tc>
          <w:tcPr>
            <w:tcW w:w="1933" w:type="dxa"/>
          </w:tcPr>
          <w:p w14:paraId="079E0438"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 w:val="24"/>
                <w:szCs w:val="24"/>
              </w:rPr>
            </w:pPr>
            <w:r w:rsidRPr="005C4FAD">
              <w:rPr>
                <w:rFonts w:ascii="Arial" w:eastAsia="Aptos" w:hAnsi="Arial" w:cs="Arial"/>
                <w:color w:val="000000"/>
                <w:sz w:val="24"/>
                <w:szCs w:val="24"/>
              </w:rPr>
              <w:t>Time management</w:t>
            </w:r>
          </w:p>
          <w:p w14:paraId="54149F86"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Aptos" w:hAnsi="Arial" w:cs="Arial"/>
                <w:color w:val="000000"/>
                <w:sz w:val="24"/>
                <w:szCs w:val="24"/>
              </w:rPr>
              <w:t>Activity progress</w:t>
            </w:r>
          </w:p>
        </w:tc>
        <w:tc>
          <w:tcPr>
            <w:tcW w:w="6270" w:type="dxa"/>
          </w:tcPr>
          <w:p w14:paraId="3638C6F3"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 xml:space="preserve">An initial Gantt has been shared with this bid. This will be </w:t>
            </w:r>
            <w:proofErr w:type="gramStart"/>
            <w:r w:rsidRPr="005C4FAD">
              <w:rPr>
                <w:rFonts w:ascii="Arial" w:eastAsia="Times New Roman" w:hAnsi="Arial" w:cs="Arial"/>
                <w:color w:val="000000"/>
                <w:sz w:val="24"/>
                <w:szCs w:val="24"/>
                <w:lang w:eastAsia="en-GB"/>
              </w:rPr>
              <w:t>updated</w:t>
            </w:r>
            <w:proofErr w:type="gramEnd"/>
            <w:r w:rsidRPr="005C4FAD">
              <w:rPr>
                <w:rFonts w:ascii="Arial" w:eastAsia="Times New Roman" w:hAnsi="Arial" w:cs="Arial"/>
                <w:color w:val="000000"/>
                <w:sz w:val="24"/>
                <w:szCs w:val="24"/>
                <w:lang w:eastAsia="en-GB"/>
              </w:rPr>
              <w:t xml:space="preserve"> and we will also consider utilising (or piloting) </w:t>
            </w:r>
            <w:hyperlink r:id="rId39" w:history="1">
              <w:proofErr w:type="spellStart"/>
              <w:r w:rsidRPr="005C4FAD">
                <w:rPr>
                  <w:rFonts w:ascii="Arial" w:eastAsia="Times New Roman" w:hAnsi="Arial" w:cs="Arial"/>
                  <w:color w:val="467886"/>
                  <w:sz w:val="24"/>
                  <w:szCs w:val="24"/>
                  <w:u w:val="single"/>
                  <w:lang w:eastAsia="en-GB"/>
                </w:rPr>
                <w:t>SmartSheet</w:t>
              </w:r>
              <w:proofErr w:type="spellEnd"/>
            </w:hyperlink>
            <w:r w:rsidRPr="005C4FAD">
              <w:rPr>
                <w:rFonts w:ascii="Arial" w:eastAsia="Times New Roman" w:hAnsi="Arial" w:cs="Arial"/>
                <w:color w:val="000000"/>
                <w:sz w:val="24"/>
                <w:szCs w:val="24"/>
                <w:lang w:eastAsia="en-GB"/>
              </w:rPr>
              <w:t xml:space="preserve">; a project management tool used elsewhere by us for the management of evaluations. </w:t>
            </w:r>
          </w:p>
        </w:tc>
      </w:tr>
      <w:tr w:rsidR="005C4FAD" w:rsidRPr="005C4FAD" w14:paraId="01DAC3FE" w14:textId="77777777" w:rsidTr="005C4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014C6C09" w14:textId="77777777" w:rsidR="005C4FAD" w:rsidRPr="005C4FAD" w:rsidRDefault="005C4FAD" w:rsidP="005C4FAD">
            <w:pPr>
              <w:spacing w:before="60" w:after="6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Risk matrix</w:t>
            </w:r>
          </w:p>
        </w:tc>
        <w:tc>
          <w:tcPr>
            <w:tcW w:w="1933" w:type="dxa"/>
          </w:tcPr>
          <w:p w14:paraId="6BD93530"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Risk management</w:t>
            </w:r>
          </w:p>
        </w:tc>
        <w:tc>
          <w:tcPr>
            <w:tcW w:w="6270" w:type="dxa"/>
          </w:tcPr>
          <w:p w14:paraId="06DA5AD1"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An initial risk register is provided at the end of this section.  This will be regularly updated throughout as new risks emerge and risks are managed and mitigated.</w:t>
            </w:r>
          </w:p>
        </w:tc>
      </w:tr>
      <w:tr w:rsidR="005C4FAD" w:rsidRPr="005C4FAD" w14:paraId="441927F2" w14:textId="77777777">
        <w:tc>
          <w:tcPr>
            <w:cnfStyle w:val="001000000000" w:firstRow="0" w:lastRow="0" w:firstColumn="1" w:lastColumn="0" w:oddVBand="0" w:evenVBand="0" w:oddHBand="0" w:evenHBand="0" w:firstRowFirstColumn="0" w:firstRowLastColumn="0" w:lastRowFirstColumn="0" w:lastRowLastColumn="0"/>
            <w:tcW w:w="1857" w:type="dxa"/>
          </w:tcPr>
          <w:p w14:paraId="409DA65D" w14:textId="77777777" w:rsidR="005C4FAD" w:rsidRPr="005C4FAD" w:rsidRDefault="005C4FAD" w:rsidP="005C4FAD">
            <w:pPr>
              <w:spacing w:before="60" w:after="6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Time Planning Tool (TPT)</w:t>
            </w:r>
          </w:p>
        </w:tc>
        <w:tc>
          <w:tcPr>
            <w:tcW w:w="1933" w:type="dxa"/>
          </w:tcPr>
          <w:p w14:paraId="7B041560"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Time management</w:t>
            </w:r>
          </w:p>
          <w:p w14:paraId="66B501AD"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Resource management</w:t>
            </w:r>
          </w:p>
        </w:tc>
        <w:tc>
          <w:tcPr>
            <w:tcW w:w="6270" w:type="dxa"/>
          </w:tcPr>
          <w:p w14:paraId="490E4927" w14:textId="77777777" w:rsidR="005C4FAD" w:rsidRPr="005C4FAD" w:rsidRDefault="005C4FAD" w:rsidP="005C4FAD">
            <w:pPr>
              <w:spacing w:before="60" w:after="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Aptos" w:hAnsi="Arial" w:cs="Arial"/>
                <w:sz w:val="24"/>
                <w:szCs w:val="24"/>
              </w:rPr>
              <w:t xml:space="preserve">All team members are obliged to plan their time 3-6 months in advance in a TPT. This provides PMs with information on staff availability and potential bottlenecks which can then be managed.  </w:t>
            </w:r>
          </w:p>
        </w:tc>
      </w:tr>
      <w:tr w:rsidR="005C4FAD" w:rsidRPr="005C4FAD" w14:paraId="7A2AD1A9" w14:textId="77777777" w:rsidTr="005C4F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7" w:type="dxa"/>
          </w:tcPr>
          <w:p w14:paraId="141E5365" w14:textId="77777777" w:rsidR="005C4FAD" w:rsidRPr="005C4FAD" w:rsidRDefault="005C4FAD" w:rsidP="005C4FAD">
            <w:pPr>
              <w:spacing w:before="60" w:after="60"/>
              <w:rPr>
                <w:rFonts w:ascii="Arial" w:eastAsia="Times New Roman" w:hAnsi="Arial" w:cs="Arial"/>
                <w:color w:val="000000"/>
                <w:sz w:val="24"/>
                <w:szCs w:val="24"/>
                <w:lang w:eastAsia="en-GB"/>
              </w:rPr>
            </w:pPr>
            <w:r w:rsidRPr="005C4FAD">
              <w:rPr>
                <w:rFonts w:ascii="Arial" w:eastAsia="Aptos" w:hAnsi="Arial" w:cs="Arial"/>
                <w:sz w:val="24"/>
                <w:szCs w:val="24"/>
              </w:rPr>
              <w:t>Fieldwork tracker</w:t>
            </w:r>
          </w:p>
        </w:tc>
        <w:tc>
          <w:tcPr>
            <w:tcW w:w="1933" w:type="dxa"/>
          </w:tcPr>
          <w:p w14:paraId="6A72136B"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t>Information management</w:t>
            </w:r>
          </w:p>
          <w:p w14:paraId="355FE5E2"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Times New Roman" w:hAnsi="Arial" w:cs="Arial"/>
                <w:color w:val="000000"/>
                <w:sz w:val="24"/>
                <w:szCs w:val="24"/>
                <w:lang w:eastAsia="en-GB"/>
              </w:rPr>
              <w:lastRenderedPageBreak/>
              <w:t>Time management</w:t>
            </w:r>
          </w:p>
        </w:tc>
        <w:tc>
          <w:tcPr>
            <w:tcW w:w="6270" w:type="dxa"/>
          </w:tcPr>
          <w:p w14:paraId="3B02EC2A" w14:textId="77777777" w:rsidR="005C4FAD" w:rsidRPr="005C4FAD" w:rsidRDefault="005C4FAD" w:rsidP="005C4FAD">
            <w:pPr>
              <w:spacing w:before="60" w:after="6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en-GB"/>
              </w:rPr>
            </w:pPr>
            <w:r w:rsidRPr="005C4FAD">
              <w:rPr>
                <w:rFonts w:ascii="Arial" w:eastAsia="Aptos" w:hAnsi="Arial" w:cs="Arial"/>
                <w:sz w:val="24"/>
                <w:szCs w:val="24"/>
              </w:rPr>
              <w:lastRenderedPageBreak/>
              <w:t xml:space="preserve">The fieldwork tracker is a confidential document kept on our secure server. We use the tracker to collate contact details and track interview set up and management. This </w:t>
            </w:r>
            <w:r w:rsidRPr="005C4FAD">
              <w:rPr>
                <w:rFonts w:ascii="Arial" w:eastAsia="Aptos" w:hAnsi="Arial" w:cs="Arial"/>
                <w:sz w:val="24"/>
                <w:szCs w:val="24"/>
              </w:rPr>
              <w:lastRenderedPageBreak/>
              <w:t>supports effective fieldwork delivery and informs the Technical Annex.</w:t>
            </w:r>
          </w:p>
        </w:tc>
      </w:tr>
    </w:tbl>
    <w:p w14:paraId="57BA2865" w14:textId="77777777" w:rsidR="005C4FAD" w:rsidRPr="005C4FAD" w:rsidRDefault="005C4FAD" w:rsidP="005C4FAD">
      <w:pPr>
        <w:spacing w:before="40" w:after="120" w:line="259" w:lineRule="auto"/>
        <w:rPr>
          <w:rFonts w:ascii="Arial" w:eastAsia="Aptos" w:hAnsi="Arial" w:cs="Arial"/>
          <w:kern w:val="2"/>
          <w:sz w:val="24"/>
          <w:szCs w:val="24"/>
          <w14:ligatures w14:val="standardContextual"/>
        </w:rPr>
      </w:pPr>
      <w:r w:rsidRPr="005C4FAD">
        <w:rPr>
          <w:rFonts w:ascii="Arial" w:eastAsia="Aptos" w:hAnsi="Arial" w:cs="Arial"/>
          <w:b/>
          <w:bCs/>
          <w:color w:val="0070C0"/>
          <w:kern w:val="2"/>
          <w:sz w:val="24"/>
          <w:szCs w:val="24"/>
          <w14:ligatures w14:val="standardContextual"/>
        </w:rPr>
        <w:lastRenderedPageBreak/>
        <w:t xml:space="preserve">Team and partner management: </w:t>
      </w:r>
      <w:r w:rsidRPr="005C4FAD">
        <w:rPr>
          <w:rFonts w:ascii="Arial" w:eastAsia="Aptos" w:hAnsi="Arial" w:cs="Arial"/>
          <w:kern w:val="2"/>
          <w:sz w:val="24"/>
          <w:szCs w:val="24"/>
          <w14:ligatures w14:val="standardContextual"/>
        </w:rPr>
        <w:t>The team</w:t>
      </w:r>
      <w:r w:rsidRPr="005C4FAD">
        <w:rPr>
          <w:rFonts w:ascii="Arial" w:eastAsia="Aptos" w:hAnsi="Arial" w:cs="Arial"/>
          <w:b/>
          <w:bCs/>
          <w:kern w:val="2"/>
          <w:sz w:val="24"/>
          <w:szCs w:val="24"/>
          <w14:ligatures w14:val="standardContextual"/>
        </w:rPr>
        <w:t xml:space="preserve"> </w:t>
      </w:r>
      <w:r w:rsidRPr="005C4FAD">
        <w:rPr>
          <w:rFonts w:ascii="Arial" w:eastAsia="Aptos" w:hAnsi="Arial" w:cs="Arial"/>
          <w:kern w:val="2"/>
          <w:sz w:val="24"/>
          <w:szCs w:val="24"/>
          <w14:ligatures w14:val="standardContextual"/>
        </w:rPr>
        <w:t>will be</w:t>
      </w:r>
      <w:r w:rsidRPr="005C4FAD">
        <w:rPr>
          <w:rFonts w:ascii="Arial" w:eastAsia="Aptos" w:hAnsi="Arial" w:cs="Arial"/>
          <w:b/>
          <w:bCs/>
          <w:kern w:val="2"/>
          <w:sz w:val="24"/>
          <w:szCs w:val="24"/>
          <w14:ligatures w14:val="standardContextual"/>
        </w:rPr>
        <w:t xml:space="preserve"> </w:t>
      </w:r>
      <w:r w:rsidRPr="005C4FAD">
        <w:rPr>
          <w:rFonts w:ascii="Arial" w:eastAsia="Aptos" w:hAnsi="Arial" w:cs="Arial"/>
          <w:kern w:val="2"/>
          <w:sz w:val="24"/>
          <w:szCs w:val="24"/>
          <w14:ligatures w14:val="standardContextual"/>
        </w:rPr>
        <w:t xml:space="preserve">organised into </w:t>
      </w:r>
      <w:r w:rsidRPr="005C4FAD">
        <w:rPr>
          <w:rFonts w:ascii="Arial" w:eastAsia="Aptos" w:hAnsi="Arial" w:cs="Arial"/>
          <w:b/>
          <w:bCs/>
          <w:kern w:val="2"/>
          <w:sz w:val="24"/>
          <w:szCs w:val="24"/>
          <w14:ligatures w14:val="standardContextual"/>
        </w:rPr>
        <w:t>sub-teams</w:t>
      </w:r>
      <w:r w:rsidRPr="005C4FAD">
        <w:rPr>
          <w:rFonts w:ascii="Arial" w:eastAsia="Aptos" w:hAnsi="Arial" w:cs="Arial"/>
          <w:kern w:val="2"/>
          <w:sz w:val="24"/>
          <w:szCs w:val="24"/>
          <w14:ligatures w14:val="standardContextual"/>
        </w:rPr>
        <w:t xml:space="preserve"> responsible for specific </w:t>
      </w:r>
      <w:proofErr w:type="spellStart"/>
      <w:r w:rsidRPr="005C4FAD">
        <w:rPr>
          <w:rFonts w:ascii="Arial" w:eastAsia="Aptos" w:hAnsi="Arial" w:cs="Arial"/>
          <w:kern w:val="2"/>
          <w:sz w:val="24"/>
          <w:szCs w:val="24"/>
          <w14:ligatures w14:val="standardContextual"/>
        </w:rPr>
        <w:t>workstrands</w:t>
      </w:r>
      <w:proofErr w:type="spellEnd"/>
      <w:r w:rsidRPr="005C4FAD">
        <w:rPr>
          <w:rFonts w:ascii="Arial" w:eastAsia="Aptos" w:hAnsi="Arial" w:cs="Arial"/>
          <w:kern w:val="2"/>
          <w:sz w:val="24"/>
          <w:szCs w:val="24"/>
          <w14:ligatures w14:val="standardContextual"/>
        </w:rPr>
        <w:t xml:space="preserve"> (depth interviews, surveys, systems mapping, theory of change), each with a lead. We will also split responsibility for analysis within the team by ‘core function’ of the AISI, with our </w:t>
      </w:r>
      <w:proofErr w:type="spellStart"/>
      <w:r w:rsidRPr="005C4FAD">
        <w:rPr>
          <w:rFonts w:ascii="Arial" w:eastAsia="Aptos" w:hAnsi="Arial" w:cs="Arial"/>
          <w:kern w:val="2"/>
          <w:sz w:val="24"/>
          <w:szCs w:val="24"/>
          <w14:ligatures w14:val="standardContextual"/>
        </w:rPr>
        <w:t>our</w:t>
      </w:r>
      <w:proofErr w:type="spellEnd"/>
      <w:r w:rsidRPr="005C4FAD">
        <w:rPr>
          <w:rFonts w:ascii="Arial" w:eastAsia="Aptos" w:hAnsi="Arial" w:cs="Arial"/>
          <w:kern w:val="2"/>
          <w:sz w:val="24"/>
          <w:szCs w:val="24"/>
          <w14:ligatures w14:val="standardContextual"/>
        </w:rPr>
        <w:t xml:space="preserve"> subcontractors leading on the evaluation of effectiveness and impact of core function 3 (international and national networking and influence).</w:t>
      </w:r>
    </w:p>
    <w:p w14:paraId="1BAC8907" w14:textId="77777777" w:rsidR="005C4FAD" w:rsidRPr="005C4FAD" w:rsidRDefault="005C4FAD" w:rsidP="005C4FAD">
      <w:pPr>
        <w:spacing w:before="40" w:after="120" w:line="259" w:lineRule="auto"/>
        <w:rPr>
          <w:rFonts w:ascii="Arial" w:eastAsia="Aptos" w:hAnsi="Arial" w:cs="Arial"/>
          <w:kern w:val="2"/>
          <w:sz w:val="24"/>
          <w:szCs w:val="24"/>
          <w:highlight w:val="cyan"/>
          <w14:ligatures w14:val="standardContextual"/>
        </w:rPr>
      </w:pPr>
      <w:r w:rsidRPr="005C4FAD">
        <w:rPr>
          <w:rFonts w:ascii="Arial" w:eastAsia="Aptos" w:hAnsi="Arial" w:cs="Arial"/>
          <w:kern w:val="2"/>
          <w:sz w:val="24"/>
          <w:szCs w:val="24"/>
          <w14:ligatures w14:val="standardContextual"/>
        </w:rPr>
        <w:t xml:space="preserve">Team members active on the project at any given time will be required to attend internal team meetings. They will be provided with clear briefings for each </w:t>
      </w:r>
      <w:proofErr w:type="gramStart"/>
      <w:r w:rsidRPr="005C4FAD">
        <w:rPr>
          <w:rFonts w:ascii="Arial" w:eastAsia="Aptos" w:hAnsi="Arial" w:cs="Arial"/>
          <w:kern w:val="2"/>
          <w:sz w:val="24"/>
          <w:szCs w:val="24"/>
          <w14:ligatures w14:val="standardContextual"/>
        </w:rPr>
        <w:t>tasks</w:t>
      </w:r>
      <w:proofErr w:type="gramEnd"/>
      <w:r w:rsidRPr="005C4FAD">
        <w:rPr>
          <w:rFonts w:ascii="Arial" w:eastAsia="Aptos" w:hAnsi="Arial" w:cs="Arial"/>
          <w:kern w:val="2"/>
          <w:sz w:val="24"/>
          <w:szCs w:val="24"/>
          <w14:ligatures w14:val="standardContextual"/>
        </w:rPr>
        <w:t xml:space="preserve"> that set out objectives, timelines, the number of days budgeted for the task, guidance on what to do if have queries, questions or challenges. We will manage our </w:t>
      </w:r>
      <w:proofErr w:type="spellStart"/>
      <w:r w:rsidRPr="005C4FAD">
        <w:rPr>
          <w:rFonts w:ascii="Arial" w:eastAsia="Aptos" w:hAnsi="Arial" w:cs="Arial"/>
          <w:kern w:val="2"/>
          <w:sz w:val="24"/>
          <w:szCs w:val="24"/>
          <w14:ligatures w14:val="standardContextual"/>
        </w:rPr>
        <w:t>our</w:t>
      </w:r>
      <w:proofErr w:type="spellEnd"/>
      <w:r w:rsidRPr="005C4FAD">
        <w:rPr>
          <w:rFonts w:ascii="Arial" w:eastAsia="Aptos" w:hAnsi="Arial" w:cs="Arial"/>
          <w:kern w:val="2"/>
          <w:sz w:val="24"/>
          <w:szCs w:val="24"/>
          <w14:ligatures w14:val="standardContextual"/>
        </w:rPr>
        <w:t xml:space="preserve"> subcontractors through (</w:t>
      </w:r>
      <w:proofErr w:type="spellStart"/>
      <w:r w:rsidRPr="005C4FAD">
        <w:rPr>
          <w:rFonts w:ascii="Arial" w:eastAsia="Aptos" w:hAnsi="Arial" w:cs="Arial"/>
          <w:kern w:val="2"/>
          <w:sz w:val="24"/>
          <w:szCs w:val="24"/>
          <w14:ligatures w14:val="standardContextual"/>
        </w:rPr>
        <w:t>i</w:t>
      </w:r>
      <w:proofErr w:type="spellEnd"/>
      <w:r w:rsidRPr="005C4FAD">
        <w:rPr>
          <w:rFonts w:ascii="Arial" w:eastAsia="Aptos" w:hAnsi="Arial" w:cs="Arial"/>
          <w:kern w:val="2"/>
          <w:sz w:val="24"/>
          <w:szCs w:val="24"/>
          <w14:ligatures w14:val="standardContextual"/>
        </w:rPr>
        <w:t>) an agreed Responsibility Assignment Framework, (ii) monthly consortium meetings, (iii) in appointing CMs and CDs as dedicated points of contact for communications in each partner group, (iv) involving our subcontractors in team meetings (to maximise opportunity for sharing expertise and maintaining project continuity), and (v) facilitating and overseeing any legal requirements between DSIT and our subcontractors for the sharing of data (e.g. NDAs).</w:t>
      </w:r>
    </w:p>
    <w:p w14:paraId="45119F52" w14:textId="77777777" w:rsidR="005C4FAD" w:rsidRPr="005C4FAD" w:rsidRDefault="005C4FAD" w:rsidP="005C4FAD">
      <w:pPr>
        <w:spacing w:after="160" w:line="259" w:lineRule="auto"/>
        <w:rPr>
          <w:rFonts w:ascii="Arial" w:eastAsia="Aptos" w:hAnsi="Arial" w:cs="Arial"/>
          <w:kern w:val="2"/>
          <w:sz w:val="24"/>
          <w:szCs w:val="24"/>
          <w14:ligatures w14:val="standardContextual"/>
        </w:rPr>
      </w:pPr>
      <w:r w:rsidRPr="005C4FAD">
        <w:rPr>
          <w:rFonts w:ascii="Arial" w:eastAsia="Aptos" w:hAnsi="Arial" w:cs="Arial"/>
          <w:b/>
          <w:bCs/>
          <w:color w:val="0070C0"/>
          <w:kern w:val="2"/>
          <w:sz w:val="24"/>
          <w:szCs w:val="24"/>
          <w14:ligatures w14:val="standardContextual"/>
        </w:rPr>
        <w:t>Client management</w:t>
      </w:r>
      <w:r w:rsidRPr="005C4FAD">
        <w:rPr>
          <w:rFonts w:ascii="Arial" w:eastAsia="Aptos" w:hAnsi="Arial" w:cs="Arial"/>
          <w:kern w:val="2"/>
          <w:sz w:val="24"/>
          <w:szCs w:val="24"/>
          <w14:ligatures w14:val="standardContextual"/>
        </w:rPr>
        <w:t xml:space="preserve">, </w:t>
      </w:r>
      <w:proofErr w:type="gramStart"/>
      <w:r w:rsidRPr="005C4FAD">
        <w:rPr>
          <w:rFonts w:ascii="Arial" w:eastAsia="Aptos" w:hAnsi="Arial" w:cs="Arial"/>
          <w:kern w:val="2"/>
          <w:sz w:val="24"/>
          <w:szCs w:val="24"/>
          <w14:ligatures w14:val="standardContextual"/>
        </w:rPr>
        <w:t>We</w:t>
      </w:r>
      <w:proofErr w:type="gramEnd"/>
      <w:r w:rsidRPr="005C4FAD">
        <w:rPr>
          <w:rFonts w:ascii="Arial" w:eastAsia="Aptos" w:hAnsi="Arial" w:cs="Arial"/>
          <w:kern w:val="2"/>
          <w:sz w:val="24"/>
          <w:szCs w:val="24"/>
          <w14:ligatures w14:val="standardContextual"/>
        </w:rPr>
        <w:t xml:space="preserve"> will ensure a collaborative working relationship with DSIT throughout the evaluation, including through initial meetings and regular working-level delivery meetings where useful with sub-teams in DSIT to update on progress and deliverables. A range of learning activities will be offered, providing a variety of opportunities and platforms for disseminating the learning from the evaluation. </w:t>
      </w:r>
    </w:p>
    <w:p w14:paraId="5019D518" w14:textId="77777777" w:rsidR="005C4FAD" w:rsidRPr="005C4FAD" w:rsidRDefault="005C4FAD" w:rsidP="005C4FAD">
      <w:pPr>
        <w:spacing w:after="160" w:line="259" w:lineRule="auto"/>
        <w:rPr>
          <w:rFonts w:ascii="Arial" w:eastAsia="Aptos" w:hAnsi="Arial" w:cs="Arial"/>
          <w:kern w:val="2"/>
          <w:sz w:val="24"/>
          <w:szCs w:val="24"/>
          <w14:ligatures w14:val="standardContextual"/>
        </w:rPr>
      </w:pPr>
      <w:r w:rsidRPr="005C4FAD">
        <w:rPr>
          <w:rFonts w:ascii="Arial" w:eastAsia="Aptos" w:hAnsi="Arial" w:cs="Arial"/>
          <w:b/>
          <w:bCs/>
          <w:color w:val="0070C0"/>
          <w:kern w:val="2"/>
          <w:sz w:val="24"/>
          <w:szCs w:val="24"/>
          <w14:ligatures w14:val="standardContextual"/>
        </w:rPr>
        <w:t>Financial management</w:t>
      </w:r>
      <w:r w:rsidRPr="005C4FAD">
        <w:rPr>
          <w:rFonts w:ascii="Arial" w:eastAsia="Aptos" w:hAnsi="Arial" w:cs="Arial"/>
          <w:kern w:val="2"/>
          <w:sz w:val="24"/>
          <w:szCs w:val="24"/>
          <w14:ligatures w14:val="standardContextual"/>
        </w:rPr>
        <w:t xml:space="preserve">, we will be supported by our extensive in-house finance team. The PM, in collaboration with the finance team, will conduct ongoing financial forecasting and reporting on the project, tracking professional time and direct cost expenditure. The evaluation team will report to DSIT against annual budgets and share quarterly reports on finance, management, and risk with DSIT for compliance checking. In addition, we will set up a statement of work, agreed with DSIT, covering work phases and individual packages of work to deliver. The pricing and costs for each work phase will be reviewed at the end of the scoping phase and shared with DSIT. </w:t>
      </w:r>
    </w:p>
    <w:p w14:paraId="0A10DE6D" w14:textId="77777777" w:rsidR="005C4FAD" w:rsidRPr="005C4FAD" w:rsidRDefault="005C4FAD" w:rsidP="005C4FAD">
      <w:pPr>
        <w:spacing w:after="160" w:line="259" w:lineRule="auto"/>
        <w:rPr>
          <w:rFonts w:ascii="Arial" w:eastAsia="Aptos" w:hAnsi="Arial" w:cs="Arial"/>
          <w:kern w:val="2"/>
          <w:sz w:val="24"/>
          <w:szCs w:val="24"/>
          <w14:ligatures w14:val="standardContextual"/>
        </w:rPr>
      </w:pPr>
      <w:r w:rsidRPr="005C4FAD">
        <w:rPr>
          <w:rFonts w:ascii="Arial" w:eastAsia="Aptos" w:hAnsi="Arial" w:cs="Arial"/>
          <w:b/>
          <w:bCs/>
          <w:color w:val="0070C0"/>
          <w:kern w:val="2"/>
          <w:sz w:val="24"/>
          <w:szCs w:val="24"/>
          <w14:ligatures w14:val="standardContextual"/>
        </w:rPr>
        <w:t xml:space="preserve">Research ethics: </w:t>
      </w:r>
      <w:r w:rsidRPr="005C4FAD">
        <w:rPr>
          <w:rFonts w:ascii="Arial" w:eastAsia="Aptos" w:hAnsi="Arial" w:cs="Arial"/>
          <w:kern w:val="2"/>
          <w:sz w:val="24"/>
          <w:szCs w:val="24"/>
          <w14:ligatures w14:val="standardContextual"/>
        </w:rPr>
        <w:t xml:space="preserve">Our dedicated </w:t>
      </w:r>
      <w:r w:rsidRPr="005C4FAD">
        <w:rPr>
          <w:rFonts w:ascii="Arial" w:eastAsia="Aptos" w:hAnsi="Arial" w:cs="Arial"/>
          <w:b/>
          <w:bCs/>
          <w:kern w:val="2"/>
          <w:sz w:val="24"/>
          <w:szCs w:val="24"/>
          <w14:ligatures w14:val="standardContextual"/>
        </w:rPr>
        <w:t>Ethics Group</w:t>
      </w:r>
      <w:r w:rsidRPr="005C4FAD">
        <w:rPr>
          <w:rFonts w:ascii="Arial" w:eastAsia="Aptos" w:hAnsi="Arial" w:cs="Arial"/>
          <w:kern w:val="2"/>
          <w:sz w:val="24"/>
          <w:szCs w:val="24"/>
          <w14:ligatures w14:val="standardContextual"/>
        </w:rPr>
        <w:t xml:space="preserve"> will support us in conducting the evaluation to the highest ethical and legal standards. As with all new projects, we will complete an </w:t>
      </w:r>
      <w:r w:rsidRPr="005C4FAD">
        <w:rPr>
          <w:rFonts w:ascii="Arial" w:eastAsia="Aptos" w:hAnsi="Arial" w:cs="Arial"/>
          <w:b/>
          <w:bCs/>
          <w:kern w:val="2"/>
          <w:sz w:val="24"/>
          <w:szCs w:val="24"/>
          <w14:ligatures w14:val="standardContextual"/>
        </w:rPr>
        <w:t>Ethics Review Form</w:t>
      </w:r>
      <w:r w:rsidRPr="005C4FAD">
        <w:rPr>
          <w:rFonts w:ascii="Arial" w:eastAsia="Aptos" w:hAnsi="Arial" w:cs="Arial"/>
          <w:kern w:val="2"/>
          <w:sz w:val="24"/>
          <w:szCs w:val="24"/>
          <w14:ligatures w14:val="standardContextual"/>
        </w:rPr>
        <w:t xml:space="preserve"> and develop a full chapter on ethics to be included in the </w:t>
      </w:r>
      <w:r w:rsidRPr="005C4FAD">
        <w:rPr>
          <w:rFonts w:ascii="Arial" w:eastAsia="Aptos" w:hAnsi="Arial" w:cs="Arial"/>
          <w:b/>
          <w:bCs/>
          <w:kern w:val="2"/>
          <w:sz w:val="24"/>
          <w:szCs w:val="24"/>
          <w14:ligatures w14:val="standardContextual"/>
        </w:rPr>
        <w:t>Scoping Report</w:t>
      </w:r>
      <w:r w:rsidRPr="005C4FAD">
        <w:rPr>
          <w:rFonts w:ascii="Arial" w:eastAsia="Aptos" w:hAnsi="Arial" w:cs="Arial"/>
          <w:kern w:val="2"/>
          <w:sz w:val="24"/>
          <w:szCs w:val="24"/>
          <w14:ligatures w14:val="standardContextual"/>
        </w:rPr>
        <w:t xml:space="preserve">. Our suppliers will be expected to uphold legal, regulatory and contractual obligations that we specify (e.g. on data security, financial buoyancy, and ethics) as well as our corporate </w:t>
      </w:r>
      <w:proofErr w:type="gramStart"/>
      <w:r w:rsidRPr="005C4FAD">
        <w:rPr>
          <w:rFonts w:ascii="Arial" w:eastAsia="Aptos" w:hAnsi="Arial" w:cs="Arial"/>
          <w:kern w:val="2"/>
          <w:sz w:val="24"/>
          <w:szCs w:val="24"/>
          <w14:ligatures w14:val="standardContextual"/>
        </w:rPr>
        <w:t>values,.</w:t>
      </w:r>
      <w:proofErr w:type="gramEnd"/>
      <w:r w:rsidRPr="005C4FAD">
        <w:rPr>
          <w:rFonts w:ascii="Arial" w:eastAsia="Aptos" w:hAnsi="Arial" w:cs="Arial"/>
          <w:kern w:val="2"/>
          <w:sz w:val="24"/>
          <w:szCs w:val="24"/>
          <w14:ligatures w14:val="standardContextual"/>
        </w:rPr>
        <w:t xml:space="preserve"> We will hold a </w:t>
      </w:r>
      <w:r w:rsidRPr="005C4FAD">
        <w:rPr>
          <w:rFonts w:ascii="Arial" w:eastAsia="Aptos" w:hAnsi="Arial" w:cs="Arial"/>
          <w:b/>
          <w:bCs/>
          <w:kern w:val="2"/>
          <w:sz w:val="24"/>
          <w:szCs w:val="24"/>
          <w14:ligatures w14:val="standardContextual"/>
        </w:rPr>
        <w:t>full team briefing on the project’s ethics requirements</w:t>
      </w:r>
      <w:r w:rsidRPr="005C4FAD">
        <w:rPr>
          <w:rFonts w:ascii="Arial" w:eastAsia="Aptos" w:hAnsi="Arial" w:cs="Arial"/>
          <w:kern w:val="2"/>
          <w:sz w:val="24"/>
          <w:szCs w:val="24"/>
          <w14:ligatures w14:val="standardContextual"/>
        </w:rPr>
        <w:t xml:space="preserve">. </w:t>
      </w:r>
    </w:p>
    <w:p w14:paraId="4431B3DE" w14:textId="77777777" w:rsidR="005C4FAD" w:rsidRPr="005C4FAD" w:rsidRDefault="005C4FAD" w:rsidP="005C4FAD">
      <w:pPr>
        <w:spacing w:before="60" w:after="60" w:line="240" w:lineRule="auto"/>
        <w:rPr>
          <w:rFonts w:ascii="Arial" w:eastAsia="Times New Roman" w:hAnsi="Arial" w:cs="Arial"/>
          <w:b/>
          <w:bCs/>
          <w:sz w:val="24"/>
          <w:szCs w:val="24"/>
          <w:lang w:eastAsia="en-GB"/>
        </w:rPr>
      </w:pPr>
      <w:r w:rsidRPr="005C4FAD">
        <w:rPr>
          <w:rFonts w:ascii="Arial" w:eastAsia="Times New Roman" w:hAnsi="Arial" w:cs="Arial"/>
          <w:b/>
          <w:bCs/>
          <w:sz w:val="24"/>
          <w:szCs w:val="24"/>
          <w:lang w:eastAsia="en-GB"/>
        </w:rPr>
        <w:lastRenderedPageBreak/>
        <w:t>Table 3. How we will meet ethical requirements in our research</w:t>
      </w:r>
    </w:p>
    <w:tbl>
      <w:tblPr>
        <w:tblStyle w:val="TableGrid2"/>
        <w:tblW w:w="0" w:type="auto"/>
        <w:tblLook w:val="04A0" w:firstRow="1" w:lastRow="0" w:firstColumn="1" w:lastColumn="0" w:noHBand="0" w:noVBand="1"/>
      </w:tblPr>
      <w:tblGrid>
        <w:gridCol w:w="1973"/>
        <w:gridCol w:w="7043"/>
      </w:tblGrid>
      <w:tr w:rsidR="005C4FAD" w:rsidRPr="005C4FAD" w14:paraId="7FA98BF2" w14:textId="77777777" w:rsidTr="005C4FAD">
        <w:tc>
          <w:tcPr>
            <w:tcW w:w="1973" w:type="dxa"/>
            <w:shd w:val="clear" w:color="auto" w:fill="156082"/>
          </w:tcPr>
          <w:p w14:paraId="41CE354C" w14:textId="77777777" w:rsidR="005C4FAD" w:rsidRPr="005C4FAD" w:rsidRDefault="005C4FAD" w:rsidP="005C4FAD">
            <w:pPr>
              <w:autoSpaceDE w:val="0"/>
              <w:autoSpaceDN w:val="0"/>
              <w:adjustRightInd w:val="0"/>
              <w:rPr>
                <w:b/>
                <w:bCs/>
                <w:color w:val="FFFFFF"/>
                <w:sz w:val="24"/>
                <w:szCs w:val="24"/>
              </w:rPr>
            </w:pPr>
            <w:r w:rsidRPr="005C4FAD">
              <w:rPr>
                <w:b/>
                <w:bCs/>
                <w:color w:val="FFFFFF"/>
                <w:sz w:val="24"/>
                <w:szCs w:val="24"/>
              </w:rPr>
              <w:t>Ethics requirements</w:t>
            </w:r>
          </w:p>
        </w:tc>
        <w:tc>
          <w:tcPr>
            <w:tcW w:w="7043" w:type="dxa"/>
            <w:shd w:val="clear" w:color="auto" w:fill="156082"/>
          </w:tcPr>
          <w:p w14:paraId="1EDF82CC" w14:textId="77777777" w:rsidR="005C4FAD" w:rsidRPr="005C4FAD" w:rsidRDefault="005C4FAD" w:rsidP="005C4FAD">
            <w:pPr>
              <w:autoSpaceDE w:val="0"/>
              <w:autoSpaceDN w:val="0"/>
              <w:adjustRightInd w:val="0"/>
              <w:rPr>
                <w:b/>
                <w:bCs/>
                <w:color w:val="FFFFFF"/>
                <w:sz w:val="24"/>
                <w:szCs w:val="24"/>
              </w:rPr>
            </w:pPr>
            <w:r w:rsidRPr="005C4FAD">
              <w:rPr>
                <w:b/>
                <w:bCs/>
                <w:color w:val="FFFFFF"/>
                <w:sz w:val="24"/>
                <w:szCs w:val="24"/>
              </w:rPr>
              <w:t>Approach developed</w:t>
            </w:r>
          </w:p>
        </w:tc>
      </w:tr>
      <w:tr w:rsidR="005C4FAD" w:rsidRPr="005C4FAD" w14:paraId="10FE7ADC" w14:textId="77777777" w:rsidTr="005C4FAD">
        <w:tc>
          <w:tcPr>
            <w:tcW w:w="1973" w:type="dxa"/>
            <w:shd w:val="clear" w:color="auto" w:fill="C1E4F5"/>
          </w:tcPr>
          <w:p w14:paraId="266AB9D4" w14:textId="77777777" w:rsidR="005C4FAD" w:rsidRPr="005C4FAD" w:rsidRDefault="005C4FAD" w:rsidP="005C4FAD">
            <w:pPr>
              <w:autoSpaceDE w:val="0"/>
              <w:autoSpaceDN w:val="0"/>
              <w:adjustRightInd w:val="0"/>
              <w:rPr>
                <w:b/>
                <w:bCs/>
                <w:sz w:val="24"/>
                <w:szCs w:val="24"/>
              </w:rPr>
            </w:pPr>
            <w:r w:rsidRPr="005C4FAD">
              <w:rPr>
                <w:b/>
                <w:bCs/>
                <w:sz w:val="24"/>
                <w:szCs w:val="24"/>
              </w:rPr>
              <w:t>Sound application and conduct of social research methods and appropriate dissemination and utilisation of findings</w:t>
            </w:r>
          </w:p>
        </w:tc>
        <w:tc>
          <w:tcPr>
            <w:tcW w:w="7043" w:type="dxa"/>
            <w:shd w:val="clear" w:color="auto" w:fill="C1E4F5"/>
          </w:tcPr>
          <w:p w14:paraId="6767B7AE" w14:textId="77777777" w:rsidR="005C4FAD" w:rsidRPr="005C4FAD" w:rsidRDefault="005C4FAD" w:rsidP="005C4FAD">
            <w:pPr>
              <w:autoSpaceDE w:val="0"/>
              <w:autoSpaceDN w:val="0"/>
              <w:adjustRightInd w:val="0"/>
              <w:rPr>
                <w:sz w:val="24"/>
                <w:szCs w:val="24"/>
              </w:rPr>
            </w:pPr>
            <w:r w:rsidRPr="005C4FAD">
              <w:rPr>
                <w:sz w:val="24"/>
                <w:szCs w:val="24"/>
              </w:rPr>
              <w:t>To guarantee research best practice and mitigate research bias, we have a strong quality assurance system for research tool design, analytical tool and reporting. We will review all findings and conclusions, assessing whether all statements are sufficiently backed up with weighted and quality-assured evidence and – where this is not the case – caveats as to the strength of evidence provided. Further, we mitigate such bias by (a) triangulating multiple sources of information and (c) critically considering the perspectives of each participant and the effect their point of view may have on responses.</w:t>
            </w:r>
          </w:p>
        </w:tc>
      </w:tr>
      <w:tr w:rsidR="005C4FAD" w:rsidRPr="005C4FAD" w14:paraId="06F90EC1" w14:textId="77777777">
        <w:tc>
          <w:tcPr>
            <w:tcW w:w="1973" w:type="dxa"/>
          </w:tcPr>
          <w:p w14:paraId="0DBC0BF0" w14:textId="77777777" w:rsidR="005C4FAD" w:rsidRPr="005C4FAD" w:rsidRDefault="005C4FAD" w:rsidP="005C4FAD">
            <w:pPr>
              <w:autoSpaceDE w:val="0"/>
              <w:autoSpaceDN w:val="0"/>
              <w:adjustRightInd w:val="0"/>
              <w:rPr>
                <w:b/>
                <w:bCs/>
                <w:sz w:val="24"/>
                <w:szCs w:val="24"/>
              </w:rPr>
            </w:pPr>
            <w:r w:rsidRPr="005C4FAD">
              <w:rPr>
                <w:b/>
                <w:bCs/>
                <w:sz w:val="24"/>
                <w:szCs w:val="24"/>
              </w:rPr>
              <w:t>Participation based on valid consent</w:t>
            </w:r>
          </w:p>
        </w:tc>
        <w:tc>
          <w:tcPr>
            <w:tcW w:w="7043" w:type="dxa"/>
          </w:tcPr>
          <w:p w14:paraId="0222AAA4" w14:textId="77777777" w:rsidR="005C4FAD" w:rsidRPr="005C4FAD" w:rsidRDefault="005C4FAD" w:rsidP="005C4FAD">
            <w:pPr>
              <w:autoSpaceDE w:val="0"/>
              <w:autoSpaceDN w:val="0"/>
              <w:adjustRightInd w:val="0"/>
              <w:rPr>
                <w:sz w:val="24"/>
                <w:szCs w:val="24"/>
              </w:rPr>
            </w:pPr>
            <w:r w:rsidRPr="005C4FAD">
              <w:rPr>
                <w:sz w:val="24"/>
                <w:szCs w:val="24"/>
              </w:rPr>
              <w:t>Informed consent for this project begins at recruitment, where prospective participants will be provided with all required information about the study to enable them to make an informed choice to opt into the research. Reminders of this information will be summarised at the beginning of interviews before asking participants a final time if they consent to participate. Participants will also be regularly assured that their participation is voluntary and that they may withdraw their data at any point up until analysis is carried out.</w:t>
            </w:r>
          </w:p>
        </w:tc>
      </w:tr>
      <w:tr w:rsidR="005C4FAD" w:rsidRPr="005C4FAD" w14:paraId="24C1449C" w14:textId="77777777" w:rsidTr="005C4FAD">
        <w:tc>
          <w:tcPr>
            <w:tcW w:w="1973" w:type="dxa"/>
            <w:shd w:val="clear" w:color="auto" w:fill="C1E4F5"/>
          </w:tcPr>
          <w:p w14:paraId="1BB7A5EF" w14:textId="77777777" w:rsidR="005C4FAD" w:rsidRPr="005C4FAD" w:rsidRDefault="005C4FAD" w:rsidP="005C4FAD">
            <w:pPr>
              <w:autoSpaceDE w:val="0"/>
              <w:autoSpaceDN w:val="0"/>
              <w:adjustRightInd w:val="0"/>
              <w:rPr>
                <w:b/>
                <w:bCs/>
                <w:sz w:val="24"/>
                <w:szCs w:val="24"/>
              </w:rPr>
            </w:pPr>
            <w:r w:rsidRPr="005C4FAD">
              <w:rPr>
                <w:b/>
                <w:bCs/>
                <w:sz w:val="24"/>
                <w:szCs w:val="24"/>
              </w:rPr>
              <w:t>Non-disclosure of identity and personal information</w:t>
            </w:r>
          </w:p>
        </w:tc>
        <w:tc>
          <w:tcPr>
            <w:tcW w:w="7043" w:type="dxa"/>
            <w:shd w:val="clear" w:color="auto" w:fill="C1E4F5"/>
          </w:tcPr>
          <w:p w14:paraId="6F65858C" w14:textId="77777777" w:rsidR="005C4FAD" w:rsidRPr="005C4FAD" w:rsidRDefault="005C4FAD" w:rsidP="005C4FAD">
            <w:pPr>
              <w:autoSpaceDE w:val="0"/>
              <w:autoSpaceDN w:val="0"/>
              <w:adjustRightInd w:val="0"/>
              <w:rPr>
                <w:sz w:val="24"/>
                <w:szCs w:val="24"/>
              </w:rPr>
            </w:pPr>
            <w:r w:rsidRPr="005C4FAD">
              <w:rPr>
                <w:sz w:val="24"/>
                <w:szCs w:val="24"/>
              </w:rPr>
              <w:t>Participants will be reassured through recruitment materials and interview introductions that the following procedures apply. All personal data and responses will be anonymised from the outset by assigning each participant a unique ID number to be used in anonymised datasets for analysis and reporting. All personal information will be handled in line with our highest regulatory standards, compliant with GDPR and ISO 27001. All personal data (including transcripts and audio recordings) will be deleted within twelve months of project completion unless otherwise specified by DSIT.</w:t>
            </w:r>
          </w:p>
        </w:tc>
      </w:tr>
      <w:tr w:rsidR="005C4FAD" w:rsidRPr="005C4FAD" w14:paraId="318A40AF" w14:textId="77777777">
        <w:tc>
          <w:tcPr>
            <w:tcW w:w="1973" w:type="dxa"/>
          </w:tcPr>
          <w:p w14:paraId="2571D064" w14:textId="77777777" w:rsidR="005C4FAD" w:rsidRPr="005C4FAD" w:rsidRDefault="005C4FAD" w:rsidP="005C4FAD">
            <w:pPr>
              <w:autoSpaceDE w:val="0"/>
              <w:autoSpaceDN w:val="0"/>
              <w:adjustRightInd w:val="0"/>
              <w:rPr>
                <w:b/>
                <w:bCs/>
                <w:sz w:val="24"/>
                <w:szCs w:val="24"/>
              </w:rPr>
            </w:pPr>
            <w:r w:rsidRPr="005C4FAD">
              <w:rPr>
                <w:b/>
                <w:bCs/>
                <w:sz w:val="24"/>
                <w:szCs w:val="24"/>
              </w:rPr>
              <w:t>Managing data integrity and responsible data practices including privacy, confidentiality, and consent</w:t>
            </w:r>
          </w:p>
        </w:tc>
        <w:tc>
          <w:tcPr>
            <w:tcW w:w="7043" w:type="dxa"/>
          </w:tcPr>
          <w:p w14:paraId="1A545D41" w14:textId="77777777" w:rsidR="005C4FAD" w:rsidRPr="005C4FAD" w:rsidRDefault="005C4FAD" w:rsidP="005C4FAD">
            <w:pPr>
              <w:spacing w:after="160" w:line="259" w:lineRule="auto"/>
              <w:rPr>
                <w:rFonts w:eastAsia="Aptos"/>
                <w:sz w:val="24"/>
                <w:szCs w:val="24"/>
              </w:rPr>
            </w:pPr>
            <w:r w:rsidRPr="005C4FAD">
              <w:rPr>
                <w:sz w:val="24"/>
                <w:szCs w:val="24"/>
              </w:rPr>
              <w:t xml:space="preserve">This includes storing such data on our secure servers which allow access only to named project team members, using only our secure </w:t>
            </w:r>
            <w:proofErr w:type="spellStart"/>
            <w:r w:rsidRPr="005C4FAD">
              <w:rPr>
                <w:sz w:val="24"/>
                <w:szCs w:val="24"/>
              </w:rPr>
              <w:t>iTransfer</w:t>
            </w:r>
            <w:proofErr w:type="spellEnd"/>
            <w:r w:rsidRPr="005C4FAD">
              <w:rPr>
                <w:sz w:val="24"/>
                <w:szCs w:val="24"/>
              </w:rPr>
              <w:t xml:space="preserve"> for the sharing of sensitive data, and ensuring that all data collection and processing is proportionate. We have an integrated quality, compliance and information security management system: “Business Excellence System” (“BES”).  As we have been certified to the international standards for quality, ISO 9001, market research, ISO 20252 and Information security, ISO 27001, for many years, we have </w:t>
            </w:r>
            <w:r w:rsidRPr="005C4FAD">
              <w:rPr>
                <w:sz w:val="24"/>
                <w:szCs w:val="24"/>
              </w:rPr>
              <w:lastRenderedPageBreak/>
              <w:t xml:space="preserve">been able to fine tune our BES through tried and tested ways of working.  </w:t>
            </w:r>
          </w:p>
        </w:tc>
      </w:tr>
    </w:tbl>
    <w:p w14:paraId="1FE04AA6" w14:textId="77777777" w:rsidR="005C4FAD" w:rsidRPr="005C4FAD" w:rsidRDefault="005C4FAD" w:rsidP="005C4FAD">
      <w:pPr>
        <w:autoSpaceDE w:val="0"/>
        <w:autoSpaceDN w:val="0"/>
        <w:adjustRightInd w:val="0"/>
        <w:spacing w:after="0" w:line="240" w:lineRule="auto"/>
        <w:rPr>
          <w:rFonts w:ascii="Arial" w:eastAsia="Aptos" w:hAnsi="Arial" w:cs="Arial"/>
          <w:b/>
          <w:bCs/>
          <w:color w:val="000000"/>
          <w:sz w:val="24"/>
          <w:szCs w:val="24"/>
        </w:rPr>
      </w:pPr>
    </w:p>
    <w:p w14:paraId="7A9C8A4F" w14:textId="77777777" w:rsidR="005C4FAD" w:rsidRPr="005C4FAD" w:rsidRDefault="005C4FAD" w:rsidP="005C4FAD">
      <w:pPr>
        <w:spacing w:after="160" w:line="259" w:lineRule="auto"/>
        <w:rPr>
          <w:rFonts w:ascii="Arial" w:eastAsia="Aptos" w:hAnsi="Arial" w:cs="Arial"/>
          <w:kern w:val="2"/>
          <w:sz w:val="24"/>
          <w:szCs w:val="24"/>
          <w14:ligatures w14:val="standardContextual"/>
        </w:rPr>
      </w:pPr>
      <w:r w:rsidRPr="005C4FAD">
        <w:rPr>
          <w:rFonts w:ascii="Arial" w:eastAsia="Aptos" w:hAnsi="Arial" w:cs="Arial"/>
          <w:b/>
          <w:bCs/>
          <w:color w:val="156082"/>
          <w:kern w:val="2"/>
          <w:sz w:val="24"/>
          <w:szCs w:val="24"/>
          <w14:ligatures w14:val="standardContextual"/>
        </w:rPr>
        <w:t xml:space="preserve">Quality management: </w:t>
      </w:r>
      <w:r w:rsidRPr="005C4FAD">
        <w:rPr>
          <w:rFonts w:ascii="Arial" w:eastAsia="Aptos" w:hAnsi="Arial" w:cs="Arial"/>
          <w:kern w:val="2"/>
          <w:sz w:val="24"/>
          <w:szCs w:val="24"/>
          <w14:ligatures w14:val="standardContextual"/>
        </w:rPr>
        <w:t>To ensure that we will achieve these KPIs and produce high quality research and robust, timely deliverables, we have established a Gantt work plan which is annexed to this submission. We will work closely with DSIT to review the Gantt, weekly during the scoping phase, and then bi-weekly during active work phases, checking (a) what the primary deliverables are 1-2 weeks ahead, and (b) whether there are any upcoming milestones which appear at risk. These will then be systematically reported on in working-level delivery meetings with the DSIT programme team, with risk mitigation plans. With streamlined task management and tracking, we will ensure each task is executed in a timely and efficient manner according to agreed project deadlines.</w:t>
      </w:r>
    </w:p>
    <w:p w14:paraId="6272E7E4" w14:textId="77777777" w:rsidR="005C4FAD" w:rsidRPr="005C4FAD" w:rsidRDefault="005C4FAD" w:rsidP="005C4FAD">
      <w:pPr>
        <w:spacing w:after="160" w:line="259" w:lineRule="auto"/>
        <w:rPr>
          <w:rFonts w:ascii="Arial" w:eastAsia="Aptos" w:hAnsi="Arial" w:cs="Arial"/>
          <w:color w:val="000000"/>
          <w:kern w:val="2"/>
          <w:sz w:val="24"/>
          <w:szCs w:val="24"/>
          <w14:ligatures w14:val="standardContextual"/>
        </w:rPr>
      </w:pPr>
      <w:r w:rsidRPr="005C4FAD">
        <w:rPr>
          <w:rFonts w:ascii="Arial" w:eastAsia="Aptos" w:hAnsi="Arial" w:cs="Arial"/>
          <w:color w:val="000000"/>
          <w:kern w:val="2"/>
          <w:sz w:val="24"/>
          <w:szCs w:val="24"/>
          <w14:ligatures w14:val="standardContextual"/>
        </w:rPr>
        <w:t xml:space="preserve">Quality assurance is embedded into the design of this evaluation. We have ensured: </w:t>
      </w:r>
      <w:r w:rsidRPr="005C4FAD">
        <w:rPr>
          <w:rFonts w:ascii="Arial" w:eastAsia="Aptos" w:hAnsi="Arial" w:cs="Arial"/>
          <w:b/>
          <w:bCs/>
          <w:color w:val="000000"/>
          <w:kern w:val="2"/>
          <w:sz w:val="24"/>
          <w:szCs w:val="24"/>
          <w14:ligatures w14:val="standardContextual"/>
        </w:rPr>
        <w:t>quality of expertise</w:t>
      </w:r>
      <w:r w:rsidRPr="005C4FAD">
        <w:rPr>
          <w:rFonts w:ascii="Arial" w:eastAsia="Aptos" w:hAnsi="Arial" w:cs="Arial"/>
          <w:color w:val="000000"/>
          <w:kern w:val="2"/>
          <w:sz w:val="24"/>
          <w:szCs w:val="24"/>
          <w14:ligatures w14:val="standardContextual"/>
        </w:rPr>
        <w:t xml:space="preserve"> by proposing an experienced team of evaluators and researchers with ODA evaluation expertise, climate innovation expertise, and knowledge of GESI and SDGs; </w:t>
      </w:r>
      <w:r w:rsidRPr="005C4FAD">
        <w:rPr>
          <w:rFonts w:ascii="Arial" w:eastAsia="Aptos" w:hAnsi="Arial" w:cs="Arial"/>
          <w:b/>
          <w:bCs/>
          <w:color w:val="000000"/>
          <w:kern w:val="2"/>
          <w:sz w:val="24"/>
          <w:szCs w:val="24"/>
          <w14:ligatures w14:val="standardContextual"/>
        </w:rPr>
        <w:t>quality of method</w:t>
      </w:r>
      <w:r w:rsidRPr="005C4FAD">
        <w:rPr>
          <w:rFonts w:ascii="Arial" w:eastAsia="Aptos" w:hAnsi="Arial" w:cs="Arial"/>
          <w:color w:val="000000"/>
          <w:kern w:val="2"/>
          <w:sz w:val="24"/>
          <w:szCs w:val="24"/>
          <w14:ligatures w14:val="standardContextual"/>
        </w:rPr>
        <w:t xml:space="preserve"> by developing a robust approach and putting together a team with a strong track record in similar evaluations; </w:t>
      </w:r>
      <w:r w:rsidRPr="005C4FAD">
        <w:rPr>
          <w:rFonts w:ascii="Arial" w:eastAsia="Aptos" w:hAnsi="Arial" w:cs="Arial"/>
          <w:b/>
          <w:bCs/>
          <w:color w:val="000000"/>
          <w:kern w:val="2"/>
          <w:sz w:val="24"/>
          <w:szCs w:val="24"/>
          <w14:ligatures w14:val="standardContextual"/>
        </w:rPr>
        <w:t>quality of analysis and quality of reporting</w:t>
      </w:r>
      <w:r w:rsidRPr="005C4FAD">
        <w:rPr>
          <w:rFonts w:ascii="Arial" w:eastAsia="Aptos" w:hAnsi="Arial" w:cs="Arial"/>
          <w:color w:val="000000"/>
          <w:kern w:val="2"/>
          <w:sz w:val="24"/>
          <w:szCs w:val="24"/>
          <w14:ligatures w14:val="standardContextual"/>
        </w:rPr>
        <w:t xml:space="preserve"> by proposing a team with extensive experience in complex evaluation design and delivery. We will work together with DSIT for early agreement on report structure, length, and content (including purpose and audiences), establishing a multi-stage review process, ensuring that all reports are clear, transparent, engaging, abide by Accessibility Guidance and are accompanied by a Technical Annex detailing the methods used and the research limitations. Additionally, the project manager and ESG will gather ad-hoc feedback and scrutiny from other internal experts and, where appropriate, external experts (including from EQUALS as set out in the </w:t>
      </w:r>
      <w:proofErr w:type="spellStart"/>
      <w:r w:rsidRPr="005C4FAD">
        <w:rPr>
          <w:rFonts w:ascii="Arial" w:eastAsia="Aptos" w:hAnsi="Arial" w:cs="Arial"/>
          <w:color w:val="000000"/>
          <w:kern w:val="2"/>
          <w:sz w:val="24"/>
          <w:szCs w:val="24"/>
          <w14:ligatures w14:val="standardContextual"/>
        </w:rPr>
        <w:t>ToR</w:t>
      </w:r>
      <w:proofErr w:type="spellEnd"/>
      <w:r w:rsidRPr="005C4FAD">
        <w:rPr>
          <w:rFonts w:ascii="Arial" w:eastAsia="Aptos" w:hAnsi="Arial" w:cs="Arial"/>
          <w:color w:val="000000"/>
          <w:kern w:val="2"/>
          <w:sz w:val="24"/>
          <w:szCs w:val="24"/>
          <w14:ligatures w14:val="standardContextual"/>
        </w:rPr>
        <w:t xml:space="preserve">) in reviewing draft and final evaluation reports </w:t>
      </w:r>
      <w:bookmarkStart w:id="3" w:name="_Hlk155852602"/>
    </w:p>
    <w:p w14:paraId="6D3704F2" w14:textId="77777777" w:rsidR="005C4FAD" w:rsidRPr="005C4FAD" w:rsidRDefault="005C4FAD" w:rsidP="005C4FAD">
      <w:pPr>
        <w:spacing w:after="160" w:line="259" w:lineRule="auto"/>
        <w:rPr>
          <w:rFonts w:ascii="Arial" w:eastAsia="Aptos" w:hAnsi="Arial" w:cs="Arial"/>
          <w:kern w:val="2"/>
          <w:sz w:val="24"/>
          <w:szCs w:val="24"/>
          <w14:ligatures w14:val="standardContextual"/>
        </w:rPr>
      </w:pPr>
      <w:r w:rsidRPr="005C4FAD">
        <w:rPr>
          <w:rFonts w:ascii="Arial" w:eastAsia="Aptos" w:hAnsi="Arial" w:cs="Arial"/>
          <w:b/>
          <w:bCs/>
          <w:color w:val="156082"/>
          <w:kern w:val="2"/>
          <w:sz w:val="24"/>
          <w:szCs w:val="24"/>
          <w14:ligatures w14:val="standardContextual"/>
        </w:rPr>
        <w:t xml:space="preserve">Our project plan: </w:t>
      </w:r>
      <w:r w:rsidRPr="005C4FAD">
        <w:rPr>
          <w:rFonts w:ascii="Arial" w:eastAsia="Aptos" w:hAnsi="Arial" w:cs="Arial"/>
          <w:kern w:val="2"/>
          <w:sz w:val="24"/>
          <w:szCs w:val="24"/>
          <w14:ligatures w14:val="standardContextual"/>
        </w:rPr>
        <w:t>We have prepared an initial draft work plan for this assignment setting out the steps needed to deliver all tasks and phases described in the methodology response to this ITT. The plan states, for every step, whether it will be the responsibility of DSIT or the contractor (us), whether the step/task corresponds to a specific output or deliverable, dependencies for the step being started, the likelihood of timeliness and risk to the evaluation / contract if the step is not started on time, as well as provisional timelines for each task and our initial thoughts on possible contingency time for each step. The Plan will be used as a basis for an updated plan which will form part of the project tracker and be updated to mark progress (not started / in progress / complete) for each task. The Plan will be monitored by the PM team and shared with DSIT on a weekly basis.</w:t>
      </w:r>
    </w:p>
    <w:p w14:paraId="72C5A010" w14:textId="77777777" w:rsidR="005C4FAD" w:rsidRPr="005C4FAD" w:rsidRDefault="005C4FAD" w:rsidP="005C4FAD">
      <w:pPr>
        <w:spacing w:after="160" w:line="259" w:lineRule="auto"/>
        <w:rPr>
          <w:rFonts w:ascii="Arial" w:eastAsia="Aptos" w:hAnsi="Arial" w:cs="Arial"/>
          <w:color w:val="7030A0"/>
          <w:kern w:val="2"/>
          <w:sz w:val="24"/>
          <w:szCs w:val="24"/>
          <w14:ligatures w14:val="standardContextual"/>
        </w:rPr>
      </w:pPr>
      <w:r w:rsidRPr="005C4FAD">
        <w:rPr>
          <w:rFonts w:ascii="Arial" w:eastAsia="Aptos" w:hAnsi="Arial" w:cs="Arial"/>
          <w:b/>
          <w:bCs/>
          <w:color w:val="156082"/>
          <w:kern w:val="2"/>
          <w:sz w:val="24"/>
          <w:szCs w:val="24"/>
          <w14:ligatures w14:val="standardContextual"/>
        </w:rPr>
        <w:lastRenderedPageBreak/>
        <w:t xml:space="preserve">Broader risk monitoring, management and mitigation: </w:t>
      </w:r>
      <w:r w:rsidRPr="005C4FAD">
        <w:rPr>
          <w:rFonts w:ascii="Arial" w:eastAsia="Aptos" w:hAnsi="Arial" w:cs="Arial"/>
          <w:kern w:val="2"/>
          <w:sz w:val="24"/>
          <w:szCs w:val="24"/>
          <w14:ligatures w14:val="standardContextual"/>
        </w:rPr>
        <w:t>We propose to monitor, manage and mitigate risk at an output and task level. This will enable us to be more detailed and accurate about actual project risks rather than too high level. For every task listed in the workplan / Gantt we will review a list of pre-defined list of ‘</w:t>
      </w:r>
      <w:r w:rsidRPr="005C4FAD">
        <w:rPr>
          <w:rFonts w:ascii="Arial" w:eastAsia="Aptos" w:hAnsi="Arial" w:cs="Arial"/>
          <w:b/>
          <w:bCs/>
          <w:kern w:val="2"/>
          <w:sz w:val="24"/>
          <w:szCs w:val="24"/>
          <w14:ligatures w14:val="standardContextual"/>
        </w:rPr>
        <w:t>risk categories</w:t>
      </w:r>
      <w:r w:rsidRPr="005C4FAD">
        <w:rPr>
          <w:rFonts w:ascii="Arial" w:eastAsia="Aptos" w:hAnsi="Arial" w:cs="Arial"/>
          <w:kern w:val="2"/>
          <w:sz w:val="24"/>
          <w:szCs w:val="24"/>
          <w14:ligatures w14:val="standardContextual"/>
        </w:rPr>
        <w:t xml:space="preserve">’ and select which are relevant. Risk categories that cut across every activity comprise: </w:t>
      </w:r>
      <w:r w:rsidRPr="005C4FAD">
        <w:rPr>
          <w:rFonts w:ascii="Arial" w:eastAsia="Aptos" w:hAnsi="Arial" w:cs="Arial"/>
          <w:b/>
          <w:bCs/>
          <w:kern w:val="2"/>
          <w:sz w:val="24"/>
          <w:szCs w:val="24"/>
          <w14:ligatures w14:val="standardContextual"/>
        </w:rPr>
        <w:t>timelines</w:t>
      </w:r>
      <w:r w:rsidRPr="005C4FAD">
        <w:rPr>
          <w:rFonts w:ascii="Arial" w:eastAsia="Aptos" w:hAnsi="Arial" w:cs="Arial"/>
          <w:kern w:val="2"/>
          <w:sz w:val="24"/>
          <w:szCs w:val="24"/>
          <w14:ligatures w14:val="standardContextual"/>
        </w:rPr>
        <w:t xml:space="preserve"> (i.e. any risk that the activity will not be completed within the time initially allocated); </w:t>
      </w:r>
      <w:r w:rsidRPr="005C4FAD">
        <w:rPr>
          <w:rFonts w:ascii="Arial" w:eastAsia="Aptos" w:hAnsi="Arial" w:cs="Arial"/>
          <w:b/>
          <w:bCs/>
          <w:kern w:val="2"/>
          <w:sz w:val="24"/>
          <w:szCs w:val="24"/>
          <w14:ligatures w14:val="standardContextual"/>
        </w:rPr>
        <w:t>ethics</w:t>
      </w:r>
      <w:r w:rsidRPr="005C4FAD">
        <w:rPr>
          <w:rFonts w:ascii="Arial" w:eastAsia="Aptos" w:hAnsi="Arial" w:cs="Arial"/>
          <w:kern w:val="2"/>
          <w:sz w:val="24"/>
          <w:szCs w:val="24"/>
          <w14:ligatures w14:val="standardContextual"/>
        </w:rPr>
        <w:t xml:space="preserve"> (i.e. the risk than an aspect of the activity might compromise research ethics); </w:t>
      </w:r>
      <w:r w:rsidRPr="005C4FAD">
        <w:rPr>
          <w:rFonts w:ascii="Arial" w:eastAsia="Aptos" w:hAnsi="Arial" w:cs="Arial"/>
          <w:b/>
          <w:bCs/>
          <w:kern w:val="2"/>
          <w:sz w:val="24"/>
          <w:szCs w:val="24"/>
          <w14:ligatures w14:val="standardContextual"/>
        </w:rPr>
        <w:t>scope</w:t>
      </w:r>
      <w:r w:rsidRPr="005C4FAD">
        <w:rPr>
          <w:rFonts w:ascii="Arial" w:eastAsia="Aptos" w:hAnsi="Arial" w:cs="Arial"/>
          <w:kern w:val="2"/>
          <w:sz w:val="24"/>
          <w:szCs w:val="24"/>
          <w14:ligatures w14:val="standardContextual"/>
        </w:rPr>
        <w:t xml:space="preserve"> (i.e. the risk that an activity will not be completed to the scope agreed, e.g. a reduction in interviews conducted, or that DSIT will request a change in scope); </w:t>
      </w:r>
      <w:r w:rsidRPr="005C4FAD">
        <w:rPr>
          <w:rFonts w:ascii="Arial" w:eastAsia="Aptos" w:hAnsi="Arial" w:cs="Arial"/>
          <w:b/>
          <w:bCs/>
          <w:kern w:val="2"/>
          <w:sz w:val="24"/>
          <w:szCs w:val="24"/>
          <w14:ligatures w14:val="standardContextual"/>
        </w:rPr>
        <w:t>quality</w:t>
      </w:r>
      <w:r w:rsidRPr="005C4FAD">
        <w:rPr>
          <w:rFonts w:ascii="Arial" w:eastAsia="Aptos" w:hAnsi="Arial" w:cs="Arial"/>
          <w:kern w:val="2"/>
          <w:sz w:val="24"/>
          <w:szCs w:val="24"/>
          <w14:ligatures w14:val="standardContextual"/>
        </w:rPr>
        <w:t xml:space="preserve"> (e.g. where data is of poor quality / insufficient, or there is a methods issue); </w:t>
      </w:r>
      <w:r w:rsidRPr="005C4FAD">
        <w:rPr>
          <w:rFonts w:ascii="Arial" w:eastAsia="Aptos" w:hAnsi="Arial" w:cs="Arial"/>
          <w:b/>
          <w:bCs/>
          <w:kern w:val="2"/>
          <w:sz w:val="24"/>
          <w:szCs w:val="24"/>
          <w14:ligatures w14:val="standardContextual"/>
        </w:rPr>
        <w:t>engagement</w:t>
      </w:r>
      <w:r w:rsidRPr="005C4FAD">
        <w:rPr>
          <w:rFonts w:ascii="Arial" w:eastAsia="Aptos" w:hAnsi="Arial" w:cs="Arial"/>
          <w:kern w:val="2"/>
          <w:sz w:val="24"/>
          <w:szCs w:val="24"/>
          <w14:ligatures w14:val="standardContextual"/>
        </w:rPr>
        <w:t xml:space="preserve"> (e.g. where there are blockages in speaking to or influencing key stakeholders); </w:t>
      </w:r>
      <w:r w:rsidRPr="005C4FAD">
        <w:rPr>
          <w:rFonts w:ascii="Arial" w:eastAsia="Aptos" w:hAnsi="Arial" w:cs="Arial"/>
          <w:b/>
          <w:bCs/>
          <w:kern w:val="2"/>
          <w:sz w:val="24"/>
          <w:szCs w:val="24"/>
          <w14:ligatures w14:val="standardContextual"/>
        </w:rPr>
        <w:t>reputational</w:t>
      </w:r>
      <w:r w:rsidRPr="005C4FAD">
        <w:rPr>
          <w:rFonts w:ascii="Arial" w:eastAsia="Aptos" w:hAnsi="Arial" w:cs="Arial"/>
          <w:kern w:val="2"/>
          <w:sz w:val="24"/>
          <w:szCs w:val="24"/>
          <w14:ligatures w14:val="standardContextual"/>
        </w:rPr>
        <w:t xml:space="preserve"> (where project occurrence risks negatively affecting the MREL our subcontractors’, DSIT’, DP’s, or AISI’s reputation); </w:t>
      </w:r>
      <w:r w:rsidRPr="005C4FAD">
        <w:rPr>
          <w:rFonts w:ascii="Arial" w:eastAsia="Aptos" w:hAnsi="Arial" w:cs="Arial"/>
          <w:b/>
          <w:bCs/>
          <w:kern w:val="2"/>
          <w:sz w:val="24"/>
          <w:szCs w:val="24"/>
          <w14:ligatures w14:val="standardContextual"/>
        </w:rPr>
        <w:t>safeguarding</w:t>
      </w:r>
      <w:r w:rsidRPr="005C4FAD">
        <w:rPr>
          <w:rFonts w:ascii="Arial" w:eastAsia="Aptos" w:hAnsi="Arial" w:cs="Arial"/>
          <w:kern w:val="2"/>
          <w:sz w:val="24"/>
          <w:szCs w:val="24"/>
          <w14:ligatures w14:val="standardContextual"/>
        </w:rPr>
        <w:t xml:space="preserve"> (where a researcher or a research participant is at risk or could be through the research activity). Then, for each risk, we will define a plan for monitoring and measuring the </w:t>
      </w:r>
      <w:proofErr w:type="gramStart"/>
      <w:r w:rsidRPr="005C4FAD">
        <w:rPr>
          <w:rFonts w:ascii="Arial" w:eastAsia="Aptos" w:hAnsi="Arial" w:cs="Arial"/>
          <w:kern w:val="2"/>
          <w:sz w:val="24"/>
          <w:szCs w:val="24"/>
          <w14:ligatures w14:val="standardContextual"/>
        </w:rPr>
        <w:t>risk, and</w:t>
      </w:r>
      <w:proofErr w:type="gramEnd"/>
      <w:r w:rsidRPr="005C4FAD">
        <w:rPr>
          <w:rFonts w:ascii="Arial" w:eastAsia="Aptos" w:hAnsi="Arial" w:cs="Arial"/>
          <w:kern w:val="2"/>
          <w:sz w:val="24"/>
          <w:szCs w:val="24"/>
          <w14:ligatures w14:val="standardContextual"/>
        </w:rPr>
        <w:t xml:space="preserve"> define possible mitigation and management measures (should they occur). </w:t>
      </w:r>
      <w:r w:rsidRPr="005C4FAD">
        <w:rPr>
          <w:rFonts w:ascii="Arial" w:eastAsia="Aptos" w:hAnsi="Arial" w:cs="Arial"/>
          <w:b/>
          <w:bCs/>
          <w:kern w:val="2"/>
          <w:sz w:val="24"/>
          <w:szCs w:val="24"/>
          <w14:ligatures w14:val="standardContextual"/>
        </w:rPr>
        <w:t xml:space="preserve">Mitigation measures </w:t>
      </w:r>
      <w:r w:rsidRPr="005C4FAD">
        <w:rPr>
          <w:rFonts w:ascii="Arial" w:eastAsia="Aptos" w:hAnsi="Arial" w:cs="Arial"/>
          <w:kern w:val="2"/>
          <w:sz w:val="24"/>
          <w:szCs w:val="24"/>
          <w14:ligatures w14:val="standardContextual"/>
        </w:rPr>
        <w:t xml:space="preserve">include advanced </w:t>
      </w:r>
      <w:r w:rsidRPr="005C4FAD">
        <w:rPr>
          <w:rFonts w:ascii="Arial" w:eastAsia="Aptos" w:hAnsi="Arial" w:cs="Arial"/>
          <w:b/>
          <w:bCs/>
          <w:kern w:val="2"/>
          <w:sz w:val="24"/>
          <w:szCs w:val="24"/>
          <w14:ligatures w14:val="standardContextual"/>
        </w:rPr>
        <w:t>sharing of information</w:t>
      </w:r>
      <w:r w:rsidRPr="005C4FAD">
        <w:rPr>
          <w:rFonts w:ascii="Arial" w:eastAsia="Aptos" w:hAnsi="Arial" w:cs="Arial"/>
          <w:kern w:val="2"/>
          <w:sz w:val="24"/>
          <w:szCs w:val="24"/>
          <w14:ligatures w14:val="standardContextual"/>
        </w:rPr>
        <w:t xml:space="preserve">, the setting-up of </w:t>
      </w:r>
      <w:r w:rsidRPr="005C4FAD">
        <w:rPr>
          <w:rFonts w:ascii="Arial" w:eastAsia="Aptos" w:hAnsi="Arial" w:cs="Arial"/>
          <w:b/>
          <w:bCs/>
          <w:kern w:val="2"/>
          <w:sz w:val="24"/>
          <w:szCs w:val="24"/>
          <w14:ligatures w14:val="standardContextual"/>
        </w:rPr>
        <w:t>clear communication channels</w:t>
      </w:r>
      <w:r w:rsidRPr="005C4FAD">
        <w:rPr>
          <w:rFonts w:ascii="Arial" w:eastAsia="Aptos" w:hAnsi="Arial" w:cs="Arial"/>
          <w:kern w:val="2"/>
          <w:sz w:val="24"/>
          <w:szCs w:val="24"/>
          <w14:ligatures w14:val="standardContextual"/>
        </w:rPr>
        <w:t xml:space="preserve"> (including for whistleblowing), the identification (and use of) </w:t>
      </w:r>
      <w:r w:rsidRPr="005C4FAD">
        <w:rPr>
          <w:rFonts w:ascii="Arial" w:eastAsia="Aptos" w:hAnsi="Arial" w:cs="Arial"/>
          <w:b/>
          <w:bCs/>
          <w:kern w:val="2"/>
          <w:sz w:val="24"/>
          <w:szCs w:val="24"/>
          <w14:ligatures w14:val="standardContextual"/>
        </w:rPr>
        <w:t>alternative approaches</w:t>
      </w:r>
      <w:r w:rsidRPr="005C4FAD">
        <w:rPr>
          <w:rFonts w:ascii="Arial" w:eastAsia="Aptos" w:hAnsi="Arial" w:cs="Arial"/>
          <w:kern w:val="2"/>
          <w:sz w:val="24"/>
          <w:szCs w:val="24"/>
          <w14:ligatures w14:val="standardContextual"/>
        </w:rPr>
        <w:t xml:space="preserve">, and the assignment of the </w:t>
      </w:r>
      <w:r w:rsidRPr="005C4FAD">
        <w:rPr>
          <w:rFonts w:ascii="Arial" w:eastAsia="Aptos" w:hAnsi="Arial" w:cs="Arial"/>
          <w:b/>
          <w:bCs/>
          <w:kern w:val="2"/>
          <w:sz w:val="24"/>
          <w:szCs w:val="24"/>
          <w14:ligatures w14:val="standardContextual"/>
        </w:rPr>
        <w:t>most appropriate / skilled team members</w:t>
      </w:r>
      <w:r w:rsidRPr="005C4FAD">
        <w:rPr>
          <w:rFonts w:ascii="Arial" w:eastAsia="Aptos" w:hAnsi="Arial" w:cs="Arial"/>
          <w:kern w:val="2"/>
          <w:sz w:val="24"/>
          <w:szCs w:val="24"/>
          <w14:ligatures w14:val="standardContextual"/>
        </w:rPr>
        <w:t xml:space="preserve"> to lead on risky activities. </w:t>
      </w:r>
      <w:r w:rsidRPr="005C4FAD">
        <w:rPr>
          <w:rFonts w:ascii="Arial" w:eastAsia="Aptos" w:hAnsi="Arial" w:cs="Arial"/>
          <w:b/>
          <w:bCs/>
          <w:kern w:val="2"/>
          <w:sz w:val="24"/>
          <w:szCs w:val="24"/>
          <w14:ligatures w14:val="standardContextual"/>
        </w:rPr>
        <w:t>Management</w:t>
      </w:r>
      <w:r w:rsidRPr="005C4FAD">
        <w:rPr>
          <w:rFonts w:ascii="Arial" w:eastAsia="Aptos" w:hAnsi="Arial" w:cs="Arial"/>
          <w:kern w:val="2"/>
          <w:sz w:val="24"/>
          <w:szCs w:val="24"/>
          <w14:ligatures w14:val="standardContextual"/>
        </w:rPr>
        <w:t xml:space="preserve"> </w:t>
      </w:r>
      <w:r w:rsidRPr="005C4FAD">
        <w:rPr>
          <w:rFonts w:ascii="Arial" w:eastAsia="Aptos" w:hAnsi="Arial" w:cs="Arial"/>
          <w:b/>
          <w:bCs/>
          <w:kern w:val="2"/>
          <w:sz w:val="24"/>
          <w:szCs w:val="24"/>
          <w14:ligatures w14:val="standardContextual"/>
        </w:rPr>
        <w:t>options</w:t>
      </w:r>
      <w:r w:rsidRPr="005C4FAD">
        <w:rPr>
          <w:rFonts w:ascii="Arial" w:eastAsia="Aptos" w:hAnsi="Arial" w:cs="Arial"/>
          <w:kern w:val="2"/>
          <w:sz w:val="24"/>
          <w:szCs w:val="24"/>
          <w14:ligatures w14:val="standardContextual"/>
        </w:rPr>
        <w:t xml:space="preserve"> include </w:t>
      </w:r>
      <w:r w:rsidRPr="005C4FAD">
        <w:rPr>
          <w:rFonts w:ascii="Arial" w:eastAsia="Aptos" w:hAnsi="Arial" w:cs="Arial"/>
          <w:b/>
          <w:bCs/>
          <w:kern w:val="2"/>
          <w:sz w:val="24"/>
          <w:szCs w:val="24"/>
          <w14:ligatures w14:val="standardContextual"/>
        </w:rPr>
        <w:t>relationship building</w:t>
      </w:r>
      <w:r w:rsidRPr="005C4FAD">
        <w:rPr>
          <w:rFonts w:ascii="Arial" w:eastAsia="Aptos" w:hAnsi="Arial" w:cs="Arial"/>
          <w:kern w:val="2"/>
          <w:sz w:val="24"/>
          <w:szCs w:val="24"/>
          <w14:ligatures w14:val="standardContextual"/>
        </w:rPr>
        <w:t xml:space="preserve">, the </w:t>
      </w:r>
      <w:r w:rsidRPr="005C4FAD">
        <w:rPr>
          <w:rFonts w:ascii="Arial" w:eastAsia="Aptos" w:hAnsi="Arial" w:cs="Arial"/>
          <w:b/>
          <w:bCs/>
          <w:kern w:val="2"/>
          <w:sz w:val="24"/>
          <w:szCs w:val="24"/>
          <w14:ligatures w14:val="standardContextual"/>
        </w:rPr>
        <w:t>leveraging</w:t>
      </w:r>
      <w:r w:rsidRPr="005C4FAD">
        <w:rPr>
          <w:rFonts w:ascii="Arial" w:eastAsia="Aptos" w:hAnsi="Arial" w:cs="Arial"/>
          <w:kern w:val="2"/>
          <w:sz w:val="24"/>
          <w:szCs w:val="24"/>
          <w14:ligatures w14:val="standardContextual"/>
        </w:rPr>
        <w:t xml:space="preserve"> of inputs and support from influential stakeholders, and the </w:t>
      </w:r>
      <w:r w:rsidRPr="005C4FAD">
        <w:rPr>
          <w:rFonts w:ascii="Arial" w:eastAsia="Aptos" w:hAnsi="Arial" w:cs="Arial"/>
          <w:b/>
          <w:bCs/>
          <w:kern w:val="2"/>
          <w:sz w:val="24"/>
          <w:szCs w:val="24"/>
          <w14:ligatures w14:val="standardContextual"/>
        </w:rPr>
        <w:t>triangulation</w:t>
      </w:r>
      <w:r w:rsidRPr="005C4FAD">
        <w:rPr>
          <w:rFonts w:ascii="Arial" w:eastAsia="Aptos" w:hAnsi="Arial" w:cs="Arial"/>
          <w:kern w:val="2"/>
          <w:sz w:val="24"/>
          <w:szCs w:val="24"/>
          <w14:ligatures w14:val="standardContextual"/>
        </w:rPr>
        <w:t xml:space="preserve"> of evidence with other data sources. We would produce a full risk matrix in the Scoping Phase to be reviewed at each PMO meeting with DSIT.  </w:t>
      </w:r>
      <w:bookmarkEnd w:id="2"/>
      <w:bookmarkEnd w:id="3"/>
    </w:p>
    <w:p w14:paraId="229A723C" w14:textId="77777777" w:rsidR="005C4FAD" w:rsidRPr="005C4FAD" w:rsidRDefault="005C4FAD" w:rsidP="005C4FAD">
      <w:pPr>
        <w:spacing w:after="160" w:line="259" w:lineRule="auto"/>
        <w:rPr>
          <w:rFonts w:ascii="Arial" w:eastAsia="Aptos" w:hAnsi="Arial" w:cs="Arial"/>
          <w:i/>
          <w:iCs/>
          <w:kern w:val="2"/>
          <w:sz w:val="24"/>
          <w:szCs w:val="24"/>
          <w14:ligatures w14:val="standardContextual"/>
        </w:rPr>
      </w:pPr>
    </w:p>
    <w:p w14:paraId="0EC0E3F0" w14:textId="724C2F6E" w:rsidR="005C4FAD" w:rsidRDefault="005C4FAD">
      <w:r>
        <w:br w:type="page"/>
      </w:r>
    </w:p>
    <w:p w14:paraId="2A53C14F" w14:textId="043E67EE" w:rsidR="005C4FAD" w:rsidRDefault="005C4FAD" w:rsidP="005C4FAD">
      <w:pPr>
        <w:spacing w:after="80" w:line="240" w:lineRule="auto"/>
        <w:jc w:val="both"/>
        <w:rPr>
          <w:rFonts w:ascii="Arial" w:eastAsia="Aptos" w:hAnsi="Arial" w:cs="Arial"/>
          <w:b/>
          <w:bCs/>
          <w:color w:val="0070C0"/>
          <w:kern w:val="2"/>
          <w:sz w:val="24"/>
          <w:szCs w:val="24"/>
          <w14:ligatures w14:val="standardContextual"/>
        </w:rPr>
      </w:pPr>
      <w:r>
        <w:rPr>
          <w:rFonts w:ascii="Arial" w:eastAsia="Aptos" w:hAnsi="Arial" w:cs="Arial"/>
          <w:b/>
          <w:bCs/>
          <w:color w:val="0070C0"/>
          <w:kern w:val="2"/>
          <w:sz w:val="24"/>
          <w:szCs w:val="24"/>
          <w14:ligatures w14:val="standardContextual"/>
        </w:rPr>
        <w:lastRenderedPageBreak/>
        <w:t>6. UNDERSTANDING OF CONTEXT</w:t>
      </w:r>
    </w:p>
    <w:p w14:paraId="102FF9C9" w14:textId="4BF8FECC" w:rsidR="005C4FAD" w:rsidRPr="005C4FAD" w:rsidRDefault="005C4FAD" w:rsidP="005C4FAD">
      <w:pPr>
        <w:spacing w:after="80" w:line="240" w:lineRule="auto"/>
        <w:jc w:val="both"/>
        <w:rPr>
          <w:rFonts w:ascii="Arial" w:eastAsia="Aptos" w:hAnsi="Arial" w:cs="Arial"/>
          <w:b/>
          <w:bCs/>
          <w:color w:val="0070C0"/>
          <w:kern w:val="2"/>
          <w:sz w:val="24"/>
          <w:szCs w:val="24"/>
          <w14:ligatures w14:val="standardContextual"/>
        </w:rPr>
      </w:pPr>
      <w:r w:rsidRPr="005C4FAD">
        <w:rPr>
          <w:rFonts w:ascii="Arial" w:eastAsia="Aptos" w:hAnsi="Arial" w:cs="Arial"/>
          <w:b/>
          <w:bCs/>
          <w:color w:val="0070C0"/>
          <w:kern w:val="2"/>
          <w:sz w:val="24"/>
          <w:szCs w:val="24"/>
          <w14:ligatures w14:val="standardContextual"/>
        </w:rPr>
        <w:t>6.1 The evolution of Frontier AI in the UK</w:t>
      </w:r>
    </w:p>
    <w:p w14:paraId="1B8E4793"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The rapid development of artificial intelligence (AI) technologies has enormous, transformative potential for societies and economies across the world. As a global leader in AI and other emerging technology sectors (such as cyber security, fintech and biotech/life sciences), the UK is well-positioned to leverage its strengths in R&amp;D, regulation and early-stage ecosystems to guide and benefit from the latest advances in AI. The UK’s </w:t>
      </w:r>
      <w:r w:rsidRPr="005C4FAD">
        <w:rPr>
          <w:rFonts w:ascii="Aptos" w:eastAsia="Aptos" w:hAnsi="Aptos" w:cs="Times New Roman"/>
          <w:kern w:val="2"/>
          <w:sz w:val="24"/>
          <w:szCs w:val="24"/>
          <w14:ligatures w14:val="standardContextual"/>
        </w:rPr>
        <w:t>National AI Strategy</w:t>
      </w:r>
      <w:r w:rsidRPr="005C4FAD">
        <w:rPr>
          <w:rFonts w:ascii="Arial" w:eastAsia="Aptos" w:hAnsi="Arial" w:cs="Arial"/>
          <w:kern w:val="2"/>
          <w:sz w:val="24"/>
          <w:szCs w:val="24"/>
          <w14:ligatures w14:val="standardContextual"/>
        </w:rPr>
        <w:t xml:space="preserve"> and </w:t>
      </w:r>
      <w:r w:rsidRPr="005C4FAD">
        <w:rPr>
          <w:rFonts w:ascii="Aptos" w:eastAsia="Aptos" w:hAnsi="Aptos" w:cs="Times New Roman"/>
          <w:kern w:val="2"/>
          <w:sz w:val="24"/>
          <w:szCs w:val="24"/>
          <w14:ligatures w14:val="standardContextual"/>
        </w:rPr>
        <w:t>Science &amp; Technology Framework</w:t>
      </w:r>
      <w:r w:rsidRPr="005C4FAD">
        <w:rPr>
          <w:rFonts w:ascii="Arial" w:eastAsia="Aptos" w:hAnsi="Arial" w:cs="Arial"/>
          <w:kern w:val="2"/>
          <w:sz w:val="24"/>
          <w:szCs w:val="24"/>
          <w14:ligatures w14:val="standardContextual"/>
        </w:rPr>
        <w:t xml:space="preserve"> lays out the UK’s ambition to boost productivity, growth and resilience by developing and deploying AI technologies. The UK has also adopted a ‘</w:t>
      </w:r>
      <w:r w:rsidRPr="005C4FAD">
        <w:rPr>
          <w:rFonts w:ascii="Aptos" w:eastAsia="Aptos" w:hAnsi="Aptos" w:cs="Times New Roman"/>
          <w:kern w:val="2"/>
          <w:sz w:val="24"/>
          <w:szCs w:val="24"/>
          <w14:ligatures w14:val="standardContextual"/>
        </w:rPr>
        <w:t>pro-innovation approach to AI regulation</w:t>
      </w:r>
      <w:proofErr w:type="gramStart"/>
      <w:r w:rsidRPr="005C4FAD">
        <w:rPr>
          <w:rFonts w:ascii="Arial" w:eastAsia="Aptos" w:hAnsi="Arial" w:cs="Arial"/>
          <w:kern w:val="2"/>
          <w:sz w:val="24"/>
          <w:szCs w:val="24"/>
          <w14:ligatures w14:val="standardContextual"/>
        </w:rPr>
        <w:t>’, and</w:t>
      </w:r>
      <w:proofErr w:type="gramEnd"/>
      <w:r w:rsidRPr="005C4FAD">
        <w:rPr>
          <w:rFonts w:ascii="Arial" w:eastAsia="Aptos" w:hAnsi="Arial" w:cs="Arial"/>
          <w:kern w:val="2"/>
          <w:sz w:val="24"/>
          <w:szCs w:val="24"/>
          <w14:ligatures w14:val="standardContextual"/>
        </w:rPr>
        <w:t xml:space="preserve"> is supporting the adoption of AI through initiatives like the £7.4m </w:t>
      </w:r>
      <w:r w:rsidRPr="005C4FAD">
        <w:rPr>
          <w:rFonts w:ascii="Aptos" w:eastAsia="Aptos" w:hAnsi="Aptos" w:cs="Times New Roman"/>
          <w:kern w:val="2"/>
          <w:sz w:val="24"/>
          <w:szCs w:val="24"/>
          <w14:ligatures w14:val="standardContextual"/>
        </w:rPr>
        <w:t>AI Upskilling Fund</w:t>
      </w:r>
      <w:r w:rsidRPr="005C4FAD">
        <w:rPr>
          <w:rFonts w:ascii="Arial" w:eastAsia="Aptos" w:hAnsi="Arial" w:cs="Arial"/>
          <w:kern w:val="2"/>
          <w:sz w:val="24"/>
          <w:szCs w:val="24"/>
          <w14:ligatures w14:val="standardContextual"/>
        </w:rPr>
        <w:t>.</w:t>
      </w:r>
    </w:p>
    <w:p w14:paraId="3C5C84AE"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A significant development in AI was the emergence of powerful large language models (LLMs) into the wider economic and public spheres. Continuous improvements in computational resource, availability of training data and algorithmic efficiency have accelerated the evolution of such ‘frontier AI’ technologies, defined as “highly capable general-purpose models that can perform a wide variety of tasks and match or exceed the capabilities present in today’s most advanced models”. Beyond these general-purpose models, AI technologies have also disrupted specific narrow use cases – for instance, DeepMind’s AlphaFold has accelerated groundbreaking biomedical and materials research, such as finding new malaria vaccines or breaking down single-use plastics. However, frontier AI also presents significant risks and challenges.</w:t>
      </w:r>
    </w:p>
    <w:p w14:paraId="445ADC7B"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Recognising the global nature of AI and the need for international co-operation, the UK hosted the world’s first </w:t>
      </w:r>
      <w:r w:rsidRPr="005C4FAD">
        <w:rPr>
          <w:rFonts w:ascii="Aptos" w:eastAsia="Aptos" w:hAnsi="Aptos" w:cs="Times New Roman"/>
          <w:kern w:val="2"/>
          <w:sz w:val="24"/>
          <w:szCs w:val="24"/>
          <w14:ligatures w14:val="standardContextual"/>
        </w:rPr>
        <w:t>AI Safety Summit</w:t>
      </w:r>
      <w:r w:rsidRPr="005C4FAD">
        <w:rPr>
          <w:rFonts w:ascii="Arial" w:eastAsia="Aptos" w:hAnsi="Arial" w:cs="Arial"/>
          <w:kern w:val="2"/>
          <w:sz w:val="24"/>
          <w:szCs w:val="24"/>
          <w14:ligatures w14:val="standardContextual"/>
        </w:rPr>
        <w:t xml:space="preserve"> in November 2023, with the </w:t>
      </w:r>
      <w:r w:rsidRPr="005C4FAD">
        <w:rPr>
          <w:rFonts w:ascii="Aptos" w:eastAsia="Aptos" w:hAnsi="Aptos" w:cs="Times New Roman"/>
          <w:kern w:val="2"/>
          <w:sz w:val="24"/>
          <w:szCs w:val="24"/>
          <w14:ligatures w14:val="standardContextual"/>
        </w:rPr>
        <w:t>second safety summit</w:t>
      </w:r>
      <w:r w:rsidRPr="005C4FAD">
        <w:rPr>
          <w:rFonts w:ascii="Arial" w:eastAsia="Aptos" w:hAnsi="Arial" w:cs="Arial"/>
          <w:kern w:val="2"/>
          <w:sz w:val="24"/>
          <w:szCs w:val="24"/>
          <w14:ligatures w14:val="standardContextual"/>
        </w:rPr>
        <w:t xml:space="preserve"> taking place in Seoul in May 2024. The summits brought together around 30 countries (including the EU and UN) to discuss and address the key challenges posed by AI. These include labour market impacts, misuse or malicious use, amplifying bias, enhancing adversarial cyber capabilities, the concentration of market power among a few developers, varying regulatory approaches across countries, access to training data, bias in AI systems, data privacy and security, copyright and IP issues, and the need for robust infrastructure and computational resources. Addressing these challenges is crucial to ensuring AI is developed and deployed in a responsible, ethical, safe and trustworthy manner. </w:t>
      </w:r>
    </w:p>
    <w:p w14:paraId="6CC92948" w14:textId="77777777" w:rsidR="005C4FAD" w:rsidRPr="005C4FAD" w:rsidRDefault="005C4FAD" w:rsidP="005C4FAD">
      <w:pPr>
        <w:tabs>
          <w:tab w:val="left" w:pos="2160"/>
        </w:tabs>
        <w:spacing w:after="80" w:line="240" w:lineRule="auto"/>
        <w:jc w:val="both"/>
        <w:rPr>
          <w:rFonts w:ascii="Arial" w:eastAsia="Aptos" w:hAnsi="Arial" w:cs="Arial"/>
          <w:b/>
          <w:bCs/>
          <w:color w:val="0070C0"/>
          <w:kern w:val="2"/>
          <w:sz w:val="24"/>
          <w:szCs w:val="24"/>
          <w14:ligatures w14:val="standardContextual"/>
        </w:rPr>
      </w:pPr>
      <w:r w:rsidRPr="005C4FAD">
        <w:rPr>
          <w:rFonts w:ascii="Arial" w:eastAsia="Aptos" w:hAnsi="Arial" w:cs="Arial"/>
          <w:b/>
          <w:bCs/>
          <w:color w:val="0070C0"/>
          <w:kern w:val="2"/>
          <w:sz w:val="24"/>
          <w:szCs w:val="24"/>
          <w14:ligatures w14:val="standardContextual"/>
        </w:rPr>
        <w:t>6.2 AI safety</w:t>
      </w:r>
    </w:p>
    <w:p w14:paraId="7C419DBF"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As detailed in research on AI-driven consumer products, common characteristics of AI systems can be crucial in driving the risks and subsequent harms. Specifically, the underlying model design of AI systems can be opaque, carry bias driven by algorithmic design and characteristics of training data, systems can take decisions autonomously, and learn and develop following initial deployment. These characteristics can lead to challenges related to robustness and predictability, transparency, explainability and interpretability, security and resilience to misuse, fairness, bias and discrimination, privacy and data protection. </w:t>
      </w:r>
    </w:p>
    <w:p w14:paraId="7C4DAC7B"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lastRenderedPageBreak/>
        <w:t>This complexity and limited understanding of their inner workings means general-purpose AI models are difficult to assess for potential harms. While testing can reveal some strengths and weaknesses, it cannot provide comprehensive safety guarantees. Assessing the societal impact of these models is also challenging due to their wide range of applications and the lack of established risk assessment methodologies. Therefore, a better understanding of general-purpose AI is crucial to mitigate potential risks and ensure responsible development and deployment.</w:t>
      </w:r>
    </w:p>
    <w:p w14:paraId="4ADEF3E1"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The International Scientific Report on the Safety of Advanced AI classifies general-purpose AI risks into malicious use risks, risks from malfunctions, and systemic risks, with associated harms at any of the individual-, organisation- and society-levels. Harms include scams, non-consensual deepfakes, mis-/disinformation, enhanced cyber offensive capabilities, ‘loss of control’ scenarios, copyright and IP and privacy, but also harms to equality and equity due to some groups being less represented or misrepresented in training data, disproportionate impacts on the labour market, differential access to compute resources, and energy consumption for AI models.</w:t>
      </w:r>
    </w:p>
    <w:p w14:paraId="663EC8B1"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In this context, the field of AI safety has emerged in recent years with the aim of ensuring humans (including developers, users, civil society and public sector stakeholders) can interrogate and understand the outputs of advanced AI systems and their anticipated impacts. However, while different AI safety methods and tools have been developed independently by industry and academic researchers (e.g. explainability and fairness tests developed by Oxford academics and implemented by </w:t>
      </w:r>
      <w:r w:rsidRPr="005C4FAD">
        <w:rPr>
          <w:rFonts w:ascii="Aptos" w:eastAsia="Aptos" w:hAnsi="Aptos" w:cs="Times New Roman"/>
          <w:kern w:val="2"/>
          <w:sz w:val="24"/>
          <w:szCs w:val="24"/>
          <w14:ligatures w14:val="standardContextual"/>
        </w:rPr>
        <w:t>Amazon</w:t>
      </w:r>
      <w:r w:rsidRPr="005C4FAD">
        <w:rPr>
          <w:rFonts w:ascii="Arial" w:eastAsia="Aptos" w:hAnsi="Arial" w:cs="Arial"/>
          <w:kern w:val="2"/>
          <w:sz w:val="24"/>
          <w:szCs w:val="24"/>
          <w14:ligatures w14:val="standardContextual"/>
        </w:rPr>
        <w:t>), there is no established approach to testing and ensuring the safety of advanced AI models.</w:t>
      </w:r>
    </w:p>
    <w:p w14:paraId="11A612DC" w14:textId="77777777" w:rsidR="005C4FAD" w:rsidRPr="005C4FAD" w:rsidRDefault="005C4FAD" w:rsidP="005C4FAD">
      <w:pPr>
        <w:spacing w:after="80" w:line="240" w:lineRule="auto"/>
        <w:jc w:val="both"/>
        <w:rPr>
          <w:rFonts w:ascii="Arial" w:eastAsia="Aptos" w:hAnsi="Arial" w:cs="Arial"/>
          <w:b/>
          <w:bCs/>
          <w:kern w:val="2"/>
          <w:sz w:val="24"/>
          <w:szCs w:val="24"/>
          <w14:ligatures w14:val="standardContextual"/>
        </w:rPr>
      </w:pPr>
      <w:r w:rsidRPr="005C4FAD">
        <w:rPr>
          <w:rFonts w:ascii="Arial" w:eastAsia="Aptos" w:hAnsi="Arial" w:cs="Arial"/>
          <w:b/>
          <w:bCs/>
          <w:color w:val="0070C0"/>
          <w:kern w:val="2"/>
          <w:sz w:val="24"/>
          <w:szCs w:val="24"/>
          <w14:ligatures w14:val="standardContextual"/>
        </w:rPr>
        <w:t xml:space="preserve">6.3 The AI Safety Institute </w:t>
      </w:r>
    </w:p>
    <w:p w14:paraId="2B2E2C42"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The UK established the AI Safety Institute (AISI) to address these challenges by bringing together global public sector, industry and other stakeholders to develop a deep understanding and consensus on AI risks in different contexts and solutions to assess AI safety. The AISI is a research organisation within the Department of Science, Innovation and Technology (DSIT). It was formed as an explicit reaction to the release of ChatGPT, defined as a ‘Sputnik moment’ by the then Secretary of State for Science, Innovation and Technology Michelle Donelan.</w:t>
      </w:r>
      <w:r w:rsidRPr="005C4FAD">
        <w:rPr>
          <w:rFonts w:ascii="Arial" w:eastAsia="Aptos" w:hAnsi="Arial" w:cs="Arial"/>
          <w:kern w:val="2"/>
          <w:sz w:val="24"/>
          <w:szCs w:val="24"/>
          <w:vertAlign w:val="superscript"/>
          <w14:ligatures w14:val="standardContextual"/>
        </w:rPr>
        <w:footnoteReference w:id="2"/>
      </w:r>
      <w:r w:rsidRPr="005C4FAD">
        <w:rPr>
          <w:rFonts w:ascii="Arial" w:eastAsia="Aptos" w:hAnsi="Arial" w:cs="Arial"/>
          <w:kern w:val="2"/>
          <w:sz w:val="24"/>
          <w:szCs w:val="24"/>
          <w14:ligatures w14:val="standardContextual"/>
        </w:rPr>
        <w:t xml:space="preserve"> The time since ChatGPT’s initial release has seen accelerating investment into and public adoption of advanced AI, with significant implications for our work and life. As such, taking proactive measures to ensure the safety of these systems was felt to be a clear priority. AISI’s express purpose is to equip governments with an empirical understanding of the safety of advanced AI systems. Its mechanism for achieving this purpose is by conducting research and building infrastructure to test these systems, alongside measuring their impacts on people and society. </w:t>
      </w:r>
    </w:p>
    <w:p w14:paraId="2564AB82"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The Institute is an evolution of the UK’s Frontier AI Taskforce, which was announced by the Prime Minister and Technology Secretary in April 2023. The overarching </w:t>
      </w:r>
      <w:r w:rsidRPr="005C4FAD">
        <w:rPr>
          <w:rFonts w:ascii="Arial" w:eastAsia="Aptos" w:hAnsi="Arial" w:cs="Arial"/>
          <w:kern w:val="2"/>
          <w:sz w:val="24"/>
          <w:szCs w:val="24"/>
          <w14:ligatures w14:val="standardContextual"/>
        </w:rPr>
        <w:lastRenderedPageBreak/>
        <w:t xml:space="preserve">objective of the Taskforce was to enable the safe and reliable development and deployment of advanced AI systems, which will be continued by the institute via safety and research evaluations. The institute is constituted of a range of public and private sector individuals, being chaired by Ian Hogarth (an investor and entrepreneur), Directed by Oliver Ilott (previously leading the prime ministers’ domestic private office) and with an advisory board constituted of academics and leaders in the machine learning space. It also has partnerships with research organisations, most notably the US AI safety institute, with AISI opening an office in San Francisco to enable a closer working relationship between these institutes. </w:t>
      </w:r>
    </w:p>
    <w:p w14:paraId="2214514D"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AISI’s core functions are split into three parts: </w:t>
      </w:r>
    </w:p>
    <w:p w14:paraId="007FBDDC" w14:textId="77777777" w:rsidR="005C4FAD" w:rsidRPr="005C4FAD" w:rsidRDefault="005C4FAD" w:rsidP="005C4FAD">
      <w:pPr>
        <w:numPr>
          <w:ilvl w:val="0"/>
          <w:numId w:val="4"/>
        </w:numPr>
        <w:spacing w:after="80" w:line="240" w:lineRule="auto"/>
        <w:ind w:left="426"/>
        <w:contextualSpacing/>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Develop and conduct evaluations on advanced AI systems</w:t>
      </w:r>
      <w:r w:rsidRPr="005C4FAD">
        <w:rPr>
          <w:rFonts w:ascii="Arial" w:eastAsia="Aptos" w:hAnsi="Arial" w:cs="Arial"/>
          <w:kern w:val="2"/>
          <w:sz w:val="24"/>
          <w:szCs w:val="24"/>
          <w14:ligatures w14:val="standardContextual"/>
        </w:rPr>
        <w:t>,</w:t>
      </w:r>
      <w:r w:rsidRPr="005C4FAD">
        <w:rPr>
          <w:rFonts w:ascii="Arial" w:eastAsia="Aptos" w:hAnsi="Arial" w:cs="Arial"/>
          <w:b/>
          <w:bCs/>
          <w:kern w:val="2"/>
          <w:sz w:val="24"/>
          <w:szCs w:val="24"/>
          <w14:ligatures w14:val="standardContextual"/>
        </w:rPr>
        <w:t xml:space="preserve"> </w:t>
      </w:r>
      <w:r w:rsidRPr="005C4FAD">
        <w:rPr>
          <w:rFonts w:ascii="Arial" w:eastAsia="Aptos" w:hAnsi="Arial" w:cs="Arial"/>
          <w:kern w:val="2"/>
          <w:sz w:val="24"/>
          <w:szCs w:val="24"/>
          <w14:ligatures w14:val="standardContextual"/>
        </w:rPr>
        <w:t>aiming to characterise safety-relevant capabilities, understand the safety and security of systems, and assess their societal impacts, and develop evaluation protocols and standards.</w:t>
      </w:r>
    </w:p>
    <w:p w14:paraId="3FA34DF4" w14:textId="77777777" w:rsidR="005C4FAD" w:rsidRPr="005C4FAD" w:rsidRDefault="005C4FAD" w:rsidP="005C4FAD">
      <w:pPr>
        <w:numPr>
          <w:ilvl w:val="0"/>
          <w:numId w:val="4"/>
        </w:numPr>
        <w:spacing w:after="80" w:line="240" w:lineRule="auto"/>
        <w:ind w:left="426"/>
        <w:contextualSpacing/>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Drive foundational AI safety research,</w:t>
      </w:r>
      <w:r w:rsidRPr="005C4FAD">
        <w:rPr>
          <w:rFonts w:ascii="Arial" w:eastAsia="Aptos" w:hAnsi="Arial" w:cs="Arial"/>
          <w:kern w:val="2"/>
          <w:sz w:val="24"/>
          <w:szCs w:val="24"/>
          <w14:ligatures w14:val="standardContextual"/>
        </w:rPr>
        <w:t xml:space="preserve"> including through launching a range of exploratory research projects and convening external researchers.</w:t>
      </w:r>
    </w:p>
    <w:p w14:paraId="76F269D9" w14:textId="77777777" w:rsidR="005C4FAD" w:rsidRPr="005C4FAD" w:rsidRDefault="005C4FAD" w:rsidP="005C4FAD">
      <w:pPr>
        <w:numPr>
          <w:ilvl w:val="0"/>
          <w:numId w:val="4"/>
        </w:numPr>
        <w:spacing w:after="80" w:line="240" w:lineRule="auto"/>
        <w:ind w:left="426"/>
        <w:contextualSpacing/>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Facilitate information exchange and influencing the global debate around AI safety,</w:t>
      </w:r>
      <w:r w:rsidRPr="005C4FAD">
        <w:rPr>
          <w:rFonts w:ascii="Arial" w:eastAsia="Aptos" w:hAnsi="Arial" w:cs="Arial"/>
          <w:kern w:val="2"/>
          <w:sz w:val="24"/>
          <w:szCs w:val="24"/>
          <w14:ligatures w14:val="standardContextual"/>
        </w:rPr>
        <w:t xml:space="preserve"> including by establishing clear information-sharing channels between the Institute and other national and international actors, and organising/contributing to AI Safety summits and other key events. </w:t>
      </w:r>
    </w:p>
    <w:p w14:paraId="4CD397D4"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The institute is also establishing a ‘fast grant’ system, in partnership with UK Research and Innovation (UKRI), to provide funding for researchers collaborating with the government on AI safety.</w:t>
      </w:r>
    </w:p>
    <w:p w14:paraId="6C746C5D" w14:textId="77777777" w:rsidR="005C4FAD" w:rsidRPr="005C4FAD" w:rsidRDefault="005C4FAD" w:rsidP="005C4FAD">
      <w:pPr>
        <w:spacing w:after="80" w:line="240" w:lineRule="auto"/>
        <w:jc w:val="both"/>
        <w:rPr>
          <w:rFonts w:ascii="Arial" w:eastAsia="Aptos" w:hAnsi="Arial" w:cs="Arial"/>
          <w:b/>
          <w:bCs/>
          <w:color w:val="0070C0"/>
          <w:kern w:val="2"/>
          <w:sz w:val="24"/>
          <w:szCs w:val="24"/>
          <w14:ligatures w14:val="standardContextual"/>
        </w:rPr>
      </w:pPr>
      <w:r w:rsidRPr="005C4FAD">
        <w:rPr>
          <w:rFonts w:ascii="Arial" w:eastAsia="Aptos" w:hAnsi="Arial" w:cs="Arial"/>
          <w:b/>
          <w:bCs/>
          <w:color w:val="0070C0"/>
          <w:kern w:val="2"/>
          <w:sz w:val="24"/>
          <w:szCs w:val="24"/>
          <w14:ligatures w14:val="standardContextual"/>
        </w:rPr>
        <w:t xml:space="preserve">6.4 Other mechanisms and organisations advancing AI safety </w:t>
      </w:r>
    </w:p>
    <w:p w14:paraId="496E2F82"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Globally, the rapid advancement of AI models and systems has thus far outpaced the development of the institutional and governance structures tasked with ensuring their proper use and safety. This is changing however, with the establishment of an increasing number of national and international AI Safety authorities joining trailblazers like the UK its AISI. An indication of this progress, the 2</w:t>
      </w:r>
      <w:r w:rsidRPr="005C4FAD">
        <w:rPr>
          <w:rFonts w:ascii="Arial" w:eastAsia="Aptos" w:hAnsi="Arial" w:cs="Arial"/>
          <w:kern w:val="2"/>
          <w:sz w:val="24"/>
          <w:szCs w:val="24"/>
          <w:vertAlign w:val="superscript"/>
          <w14:ligatures w14:val="standardContextual"/>
        </w:rPr>
        <w:t>nd</w:t>
      </w:r>
      <w:r w:rsidRPr="005C4FAD">
        <w:rPr>
          <w:rFonts w:ascii="Arial" w:eastAsia="Aptos" w:hAnsi="Arial" w:cs="Arial"/>
          <w:kern w:val="2"/>
          <w:sz w:val="24"/>
          <w:szCs w:val="24"/>
          <w14:ligatures w14:val="standardContextual"/>
        </w:rPr>
        <w:t xml:space="preserve"> AI Global Safety Summit in May 2024 saw 10 countries and the EU commit to the formation of a Global Network of AI Safety Institutes</w:t>
      </w:r>
      <w:r w:rsidRPr="005C4FAD">
        <w:rPr>
          <w:rFonts w:ascii="Arial" w:eastAsia="Aptos" w:hAnsi="Arial" w:cs="Arial"/>
          <w:kern w:val="2"/>
          <w:sz w:val="24"/>
          <w:szCs w:val="24"/>
          <w:vertAlign w:val="superscript"/>
          <w14:ligatures w14:val="standardContextual"/>
        </w:rPr>
        <w:footnoteReference w:id="3"/>
      </w:r>
      <w:r w:rsidRPr="005C4FAD">
        <w:rPr>
          <w:rFonts w:ascii="Arial" w:eastAsia="Aptos" w:hAnsi="Arial" w:cs="Arial"/>
          <w:kern w:val="2"/>
          <w:sz w:val="24"/>
          <w:szCs w:val="24"/>
          <w14:ligatures w14:val="standardContextual"/>
        </w:rPr>
        <w:t>. Among this group are two key examples of alternative approaches to AI safety which are likely to shape the global AI regime and broader digital market</w:t>
      </w:r>
      <w:r w:rsidRPr="005C4FAD">
        <w:rPr>
          <w:rFonts w:ascii="Arial" w:eastAsia="Aptos" w:hAnsi="Arial" w:cs="Arial"/>
          <w:kern w:val="2"/>
          <w:sz w:val="24"/>
          <w:szCs w:val="24"/>
          <w:vertAlign w:val="superscript"/>
          <w14:ligatures w14:val="standardContextual"/>
        </w:rPr>
        <w:footnoteReference w:id="4"/>
      </w:r>
      <w:r w:rsidRPr="005C4FAD">
        <w:rPr>
          <w:rFonts w:ascii="Arial" w:eastAsia="Aptos" w:hAnsi="Arial" w:cs="Arial"/>
          <w:kern w:val="2"/>
          <w:sz w:val="24"/>
          <w:szCs w:val="24"/>
          <w14:ligatures w14:val="standardContextual"/>
        </w:rPr>
        <w:t>:</w:t>
      </w:r>
    </w:p>
    <w:p w14:paraId="232174A8"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lastRenderedPageBreak/>
        <w:t xml:space="preserve">The </w:t>
      </w:r>
      <w:r w:rsidRPr="005C4FAD">
        <w:rPr>
          <w:rFonts w:ascii="Arial" w:eastAsia="Aptos" w:hAnsi="Arial" w:cs="Arial"/>
          <w:b/>
          <w:bCs/>
          <w:kern w:val="2"/>
          <w:sz w:val="24"/>
          <w:szCs w:val="24"/>
          <w14:ligatures w14:val="standardContextual"/>
        </w:rPr>
        <w:t>United States’ Artificial Intelligence Safety Institute</w:t>
      </w:r>
      <w:r w:rsidRPr="005C4FAD">
        <w:rPr>
          <w:rFonts w:ascii="Arial" w:eastAsia="Aptos" w:hAnsi="Arial" w:cs="Arial"/>
          <w:kern w:val="2"/>
          <w:sz w:val="24"/>
          <w:szCs w:val="24"/>
          <w:vertAlign w:val="superscript"/>
          <w14:ligatures w14:val="standardContextual"/>
        </w:rPr>
        <w:footnoteReference w:id="5"/>
      </w:r>
      <w:r w:rsidRPr="005C4FAD">
        <w:rPr>
          <w:rFonts w:ascii="Arial" w:eastAsia="Aptos" w:hAnsi="Arial" w:cs="Arial"/>
          <w:kern w:val="2"/>
          <w:sz w:val="24"/>
          <w:szCs w:val="24"/>
          <w14:ligatures w14:val="standardContextual"/>
        </w:rPr>
        <w:t>, now a strategic partner of the UK AISI</w:t>
      </w:r>
      <w:r w:rsidRPr="005C4FAD">
        <w:rPr>
          <w:rFonts w:ascii="Arial" w:eastAsia="Aptos" w:hAnsi="Arial" w:cs="Arial"/>
          <w:kern w:val="2"/>
          <w:sz w:val="24"/>
          <w:szCs w:val="24"/>
          <w:vertAlign w:val="superscript"/>
          <w14:ligatures w14:val="standardContextual"/>
        </w:rPr>
        <w:footnoteReference w:id="6"/>
      </w:r>
      <w:r w:rsidRPr="005C4FAD">
        <w:rPr>
          <w:rFonts w:ascii="Arial" w:eastAsia="Aptos" w:hAnsi="Arial" w:cs="Arial"/>
          <w:kern w:val="2"/>
          <w:sz w:val="24"/>
          <w:szCs w:val="24"/>
          <w14:ligatures w14:val="standardContextual"/>
        </w:rPr>
        <w:t>, was established in November 2023 following an executive order</w:t>
      </w:r>
      <w:r w:rsidRPr="005C4FAD">
        <w:rPr>
          <w:rFonts w:ascii="Arial" w:eastAsia="Aptos" w:hAnsi="Arial" w:cs="Arial"/>
          <w:kern w:val="2"/>
          <w:sz w:val="24"/>
          <w:szCs w:val="24"/>
          <w:vertAlign w:val="superscript"/>
          <w14:ligatures w14:val="standardContextual"/>
        </w:rPr>
        <w:footnoteReference w:id="7"/>
      </w:r>
      <w:r w:rsidRPr="005C4FAD">
        <w:rPr>
          <w:rFonts w:ascii="Arial" w:eastAsia="Aptos" w:hAnsi="Arial" w:cs="Arial"/>
          <w:kern w:val="2"/>
          <w:sz w:val="24"/>
          <w:szCs w:val="24"/>
          <w14:ligatures w14:val="standardContextual"/>
        </w:rPr>
        <w:t xml:space="preserve"> from the Biden Administration. The principal mandate of the Institute is the development of guidelines and standards for AI Safety, indicative of its location within the National Institute of Standards and Technology (in turn part of the US Department of Commerce). Rather than carrying out comprehensive testing and evaluation itself, the Institute’s work focuses more on increasing understanding and “advancing research and measurement science for AI safety” </w:t>
      </w:r>
      <w:r w:rsidRPr="005C4FAD">
        <w:rPr>
          <w:rFonts w:ascii="Arial" w:eastAsia="Aptos" w:hAnsi="Arial" w:cs="Arial"/>
          <w:kern w:val="2"/>
          <w:sz w:val="24"/>
          <w:szCs w:val="24"/>
          <w:vertAlign w:val="superscript"/>
          <w14:ligatures w14:val="standardContextual"/>
        </w:rPr>
        <w:footnoteReference w:id="8"/>
      </w:r>
      <w:r w:rsidRPr="005C4FAD">
        <w:rPr>
          <w:rFonts w:ascii="Arial" w:eastAsia="Aptos" w:hAnsi="Arial" w:cs="Arial"/>
          <w:kern w:val="2"/>
          <w:sz w:val="24"/>
          <w:szCs w:val="24"/>
          <w14:ligatures w14:val="standardContextual"/>
        </w:rPr>
        <w:t xml:space="preserve">. In turn, the Institute’s guidelines and recommendations can then be taken up and operationalised by other parts of government and the private sector. </w:t>
      </w:r>
    </w:p>
    <w:p w14:paraId="5585101F"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Alternatively, the </w:t>
      </w:r>
      <w:r w:rsidRPr="005C4FAD">
        <w:rPr>
          <w:rFonts w:ascii="Arial" w:eastAsia="Aptos" w:hAnsi="Arial" w:cs="Arial"/>
          <w:b/>
          <w:bCs/>
          <w:kern w:val="2"/>
          <w:sz w:val="24"/>
          <w:szCs w:val="24"/>
          <w14:ligatures w14:val="standardContextual"/>
        </w:rPr>
        <w:t>European Union’s</w:t>
      </w:r>
      <w:r w:rsidRPr="005C4FAD">
        <w:rPr>
          <w:rFonts w:ascii="Arial" w:eastAsia="Aptos" w:hAnsi="Arial" w:cs="Arial"/>
          <w:kern w:val="2"/>
          <w:sz w:val="24"/>
          <w:szCs w:val="24"/>
          <w14:ligatures w14:val="standardContextual"/>
        </w:rPr>
        <w:t xml:space="preserve"> </w:t>
      </w:r>
      <w:r w:rsidRPr="005C4FAD">
        <w:rPr>
          <w:rFonts w:ascii="Arial" w:eastAsia="Aptos" w:hAnsi="Arial" w:cs="Arial"/>
          <w:b/>
          <w:bCs/>
          <w:kern w:val="2"/>
          <w:sz w:val="24"/>
          <w:szCs w:val="24"/>
          <w14:ligatures w14:val="standardContextual"/>
        </w:rPr>
        <w:t>Artificial Intelligence Office</w:t>
      </w:r>
      <w:r w:rsidRPr="005C4FAD">
        <w:rPr>
          <w:rFonts w:ascii="Arial" w:eastAsia="Aptos" w:hAnsi="Arial" w:cs="Arial"/>
          <w:kern w:val="2"/>
          <w:sz w:val="24"/>
          <w:szCs w:val="24"/>
          <w14:ligatures w14:val="standardContextual"/>
        </w:rPr>
        <w:t xml:space="preserve"> embodies a more rigorous approach to AI Safety and its enforcement. Established to implement and regulate the EU’s AI Act, the first legislation on AI globally, the Office is tasked with monitoring and supervising the development and use of general-purpose AI. As part of a “risk-based” approach, rather than one based on sectors, the AI Act bans high risk uses such as social scoring and predictive policing</w:t>
      </w:r>
      <w:r w:rsidRPr="005C4FAD">
        <w:rPr>
          <w:rFonts w:ascii="Arial" w:eastAsia="Aptos" w:hAnsi="Arial" w:cs="Arial"/>
          <w:kern w:val="2"/>
          <w:sz w:val="24"/>
          <w:szCs w:val="24"/>
          <w:vertAlign w:val="superscript"/>
          <w14:ligatures w14:val="standardContextual"/>
        </w:rPr>
        <w:footnoteReference w:id="9"/>
      </w:r>
      <w:r w:rsidRPr="005C4FAD">
        <w:rPr>
          <w:rFonts w:ascii="Arial" w:eastAsia="Aptos" w:hAnsi="Arial" w:cs="Arial"/>
          <w:kern w:val="2"/>
          <w:sz w:val="24"/>
          <w:szCs w:val="24"/>
          <w14:ligatures w14:val="standardContextual"/>
        </w:rPr>
        <w:t>, an assignment which will fall within the remit of the AI Office’s Safety Unit. Positioned within the European Commission’s DG CONNECT, the Office’s broader structure includes other bodies on robotics, regulation &amp; compliance, innovation &amp; policy and societal good</w:t>
      </w:r>
      <w:r w:rsidRPr="005C4FAD">
        <w:rPr>
          <w:rFonts w:ascii="Arial" w:eastAsia="Aptos" w:hAnsi="Arial" w:cs="Arial"/>
          <w:kern w:val="2"/>
          <w:sz w:val="24"/>
          <w:szCs w:val="24"/>
          <w:vertAlign w:val="superscript"/>
          <w14:ligatures w14:val="standardContextual"/>
        </w:rPr>
        <w:footnoteReference w:id="10"/>
      </w:r>
      <w:r w:rsidRPr="005C4FAD">
        <w:rPr>
          <w:rFonts w:ascii="Arial" w:eastAsia="Aptos" w:hAnsi="Arial" w:cs="Arial"/>
          <w:kern w:val="2"/>
          <w:sz w:val="24"/>
          <w:szCs w:val="24"/>
          <w14:ligatures w14:val="standardContextual"/>
        </w:rPr>
        <w:t>.</w:t>
      </w:r>
    </w:p>
    <w:p w14:paraId="6CC84CDA" w14:textId="77777777" w:rsidR="005C4FAD" w:rsidRPr="005C4FAD" w:rsidRDefault="005C4FAD" w:rsidP="005C4FAD">
      <w:pPr>
        <w:spacing w:after="80" w:line="240" w:lineRule="auto"/>
        <w:jc w:val="both"/>
        <w:rPr>
          <w:rFonts w:ascii="Arial" w:eastAsia="Aptos" w:hAnsi="Arial" w:cs="Arial"/>
          <w:b/>
          <w:bCs/>
          <w:color w:val="0070C0"/>
          <w:kern w:val="2"/>
          <w:sz w:val="24"/>
          <w:szCs w:val="24"/>
          <w14:ligatures w14:val="standardContextual"/>
        </w:rPr>
      </w:pPr>
      <w:r w:rsidRPr="005C4FAD">
        <w:rPr>
          <w:rFonts w:ascii="Arial" w:eastAsia="Aptos" w:hAnsi="Arial" w:cs="Arial"/>
          <w:b/>
          <w:bCs/>
          <w:color w:val="0070C0"/>
          <w:kern w:val="2"/>
          <w:sz w:val="24"/>
          <w:szCs w:val="24"/>
          <w14:ligatures w14:val="standardContextual"/>
        </w:rPr>
        <w:t xml:space="preserve">6.5 Evaluating this topic </w:t>
      </w:r>
    </w:p>
    <w:p w14:paraId="5B392DFF"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kern w:val="2"/>
          <w:sz w:val="24"/>
          <w:szCs w:val="24"/>
          <w14:ligatures w14:val="standardContextual"/>
        </w:rPr>
        <w:t xml:space="preserve">We consider that the following aspects of the nature of the AI sector may affect how the evaluation is designed and delivered. </w:t>
      </w:r>
    </w:p>
    <w:p w14:paraId="3BA67192"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 xml:space="preserve">Complexity: </w:t>
      </w:r>
      <w:r w:rsidRPr="005C4FAD">
        <w:rPr>
          <w:rFonts w:ascii="Arial" w:eastAsia="Aptos" w:hAnsi="Arial" w:cs="Arial"/>
          <w:kern w:val="2"/>
          <w:sz w:val="24"/>
          <w:szCs w:val="24"/>
          <w14:ligatures w14:val="standardContextual"/>
        </w:rPr>
        <w:t xml:space="preserve">The AISI is the world’s first state backed organisations focussing on frontier AI safety for the public benefit, but it is still being implemented within a landscape where there is a lot of other activity ongoing that is likely to support (and challenge) the AISI’s objectives. This create a complex policy environment in which the influence and contribution of the AISI has to be carefully isolated from other effects. </w:t>
      </w:r>
      <w:r w:rsidRPr="005C4FAD">
        <w:rPr>
          <w:rFonts w:ascii="Arial" w:eastAsia="Aptos" w:hAnsi="Arial" w:cs="Arial"/>
          <w:kern w:val="2"/>
          <w:sz w:val="24"/>
          <w:szCs w:val="24"/>
          <w14:ligatures w14:val="standardContextual"/>
        </w:rPr>
        <w:lastRenderedPageBreak/>
        <w:t xml:space="preserve">We have proposed methods that might be considered for the process and impact evaluation that work well for complex interventions. </w:t>
      </w:r>
    </w:p>
    <w:p w14:paraId="7B5FB106"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 xml:space="preserve">Evaluating nascent and evolving interventions: </w:t>
      </w:r>
      <w:r w:rsidRPr="005C4FAD">
        <w:rPr>
          <w:rFonts w:ascii="Arial" w:eastAsia="Aptos" w:hAnsi="Arial" w:cs="Arial"/>
          <w:kern w:val="2"/>
          <w:sz w:val="24"/>
          <w:szCs w:val="24"/>
          <w14:ligatures w14:val="standardContextual"/>
        </w:rPr>
        <w:t>Similarly, as the AISI is in its early stages and, by design, it needs to be adaptive to changes within the wider (highly dynamic) technological and policy landscape, the scope of the AISI (and therefore the scope of the evaluation) may need to evolve and adapt as it is delivered. We have designed a project management approach that will support close working and collaboration with DSIT to obtain up-to-date information on AISI progress and developments, and to work with DSIT transparently to identify any adaptations that might need to be made to the research and evaluation plan.</w:t>
      </w:r>
    </w:p>
    <w:p w14:paraId="21171BDB"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 xml:space="preserve">Measuring safety: </w:t>
      </w:r>
      <w:r w:rsidRPr="005C4FAD">
        <w:rPr>
          <w:rFonts w:ascii="Arial" w:eastAsia="Aptos" w:hAnsi="Arial" w:cs="Arial"/>
          <w:kern w:val="2"/>
          <w:sz w:val="24"/>
          <w:szCs w:val="24"/>
          <w14:ligatures w14:val="standardContextual"/>
        </w:rPr>
        <w:t>The concept of safety is not one that is fixed, given the rapidly evolving nature of AI and its capabilities. It will be important for the evaluation to gather secondary and primary data to remain abreast of evolving definitions and concepts of safety to ensure quality of judgements around the effectiveness and relevance of AISI.</w:t>
      </w:r>
    </w:p>
    <w:p w14:paraId="0E9470F6"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 xml:space="preserve">Measuring influence: </w:t>
      </w:r>
      <w:r w:rsidRPr="005C4FAD">
        <w:rPr>
          <w:rFonts w:ascii="Arial" w:eastAsia="Aptos" w:hAnsi="Arial" w:cs="Arial"/>
          <w:kern w:val="2"/>
          <w:sz w:val="24"/>
          <w:szCs w:val="24"/>
          <w14:ligatures w14:val="standardContextual"/>
        </w:rPr>
        <w:t xml:space="preserve">We understand from the AISI Theory of Change that influencing key stakeholders is a primary objective of the Institute. ‘Influence’ is to some extent a subjective concept; </w:t>
      </w:r>
      <w:proofErr w:type="gramStart"/>
      <w:r w:rsidRPr="005C4FAD">
        <w:rPr>
          <w:rFonts w:ascii="Arial" w:eastAsia="Aptos" w:hAnsi="Arial" w:cs="Arial"/>
          <w:kern w:val="2"/>
          <w:sz w:val="24"/>
          <w:szCs w:val="24"/>
          <w14:ligatures w14:val="standardContextual"/>
        </w:rPr>
        <w:t>therefore</w:t>
      </w:r>
      <w:proofErr w:type="gramEnd"/>
      <w:r w:rsidRPr="005C4FAD">
        <w:rPr>
          <w:rFonts w:ascii="Arial" w:eastAsia="Aptos" w:hAnsi="Arial" w:cs="Arial"/>
          <w:kern w:val="2"/>
          <w:sz w:val="24"/>
          <w:szCs w:val="24"/>
          <w14:ligatures w14:val="standardContextual"/>
        </w:rPr>
        <w:t xml:space="preserve"> it will be important for the evaluation to define and justify what indicators it will be measuring (e.g. take-up of AISI outputs, references to AISI, positive feedback on the institute) when making judgements on influence as an impact. </w:t>
      </w:r>
    </w:p>
    <w:p w14:paraId="6FBE3D05" w14:textId="77777777" w:rsidR="005C4FAD" w:rsidRPr="005C4FAD" w:rsidRDefault="005C4FAD" w:rsidP="005C4FAD">
      <w:pPr>
        <w:spacing w:after="80" w:line="240" w:lineRule="auto"/>
        <w:jc w:val="both"/>
        <w:rPr>
          <w:rFonts w:ascii="Arial" w:eastAsia="Aptos" w:hAnsi="Arial" w:cs="Arial"/>
          <w:kern w:val="2"/>
          <w:sz w:val="24"/>
          <w:szCs w:val="24"/>
          <w14:ligatures w14:val="standardContextual"/>
        </w:rPr>
      </w:pPr>
      <w:r w:rsidRPr="005C4FAD">
        <w:rPr>
          <w:rFonts w:ascii="Arial" w:eastAsia="Aptos" w:hAnsi="Arial" w:cs="Arial"/>
          <w:b/>
          <w:bCs/>
          <w:kern w:val="2"/>
          <w:sz w:val="24"/>
          <w:szCs w:val="24"/>
          <w14:ligatures w14:val="standardContextual"/>
        </w:rPr>
        <w:t xml:space="preserve">Engaging powerful and time-poor stakeholders: </w:t>
      </w:r>
      <w:r w:rsidRPr="005C4FAD">
        <w:rPr>
          <w:rFonts w:ascii="Arial" w:eastAsia="Aptos" w:hAnsi="Arial" w:cs="Arial"/>
          <w:kern w:val="2"/>
          <w:sz w:val="24"/>
          <w:szCs w:val="24"/>
          <w14:ligatures w14:val="standardContextual"/>
        </w:rPr>
        <w:t>The evaluation will be highly dependent upon deep engagement with those stakeholders most involved in and targeted by the Institute, which includes big tech companies, international government representatives, and academics, all of whom are likely to be time-poor and possibly disinterested in participating in an evaluation. The stakeholder engagement planning during the Scoping Phase will be critical for mapping out our assumptions about how to best engage these groups. We will also pilot engagement approaches as useful.</w:t>
      </w:r>
    </w:p>
    <w:p w14:paraId="6FC49382" w14:textId="77777777" w:rsidR="005C4FAD" w:rsidRPr="00BD7C9E" w:rsidRDefault="005C4FAD" w:rsidP="005C4FAD"/>
    <w:p w14:paraId="29F4798A" w14:textId="77777777" w:rsidR="0011196C" w:rsidRDefault="0011196C" w:rsidP="2CB37A84">
      <w:pPr>
        <w:rPr>
          <w:rFonts w:ascii="Arial" w:hAnsi="Arial" w:cs="Arial"/>
          <w:b/>
          <w:bCs/>
          <w:sz w:val="36"/>
          <w:szCs w:val="36"/>
        </w:rPr>
      </w:pPr>
    </w:p>
    <w:p w14:paraId="5DAB6C7B" w14:textId="77777777" w:rsidR="00D4132A" w:rsidRPr="00D4132A" w:rsidRDefault="00D4132A" w:rsidP="00F02DE9">
      <w:pPr>
        <w:spacing w:after="0" w:line="240" w:lineRule="auto"/>
        <w:contextualSpacing/>
        <w:rPr>
          <w:rFonts w:ascii="Arial" w:hAnsi="Arial" w:cs="Arial"/>
          <w:sz w:val="24"/>
          <w:szCs w:val="20"/>
        </w:rPr>
      </w:pPr>
    </w:p>
    <w:p w14:paraId="02EB378F" w14:textId="77777777" w:rsidR="00D4132A" w:rsidRPr="00D4132A" w:rsidRDefault="00D4132A" w:rsidP="00F02DE9">
      <w:pPr>
        <w:spacing w:after="0" w:line="240" w:lineRule="auto"/>
        <w:contextualSpacing/>
        <w:rPr>
          <w:rFonts w:ascii="Arial" w:hAnsi="Arial" w:cs="Arial"/>
          <w:sz w:val="24"/>
          <w:szCs w:val="20"/>
        </w:rPr>
      </w:pPr>
    </w:p>
    <w:p w14:paraId="6A05A809" w14:textId="77777777" w:rsidR="00D4132A" w:rsidRPr="00D4132A" w:rsidRDefault="00D4132A" w:rsidP="00F02DE9">
      <w:pPr>
        <w:spacing w:after="0" w:line="240" w:lineRule="auto"/>
        <w:contextualSpacing/>
        <w:rPr>
          <w:rFonts w:ascii="Arial" w:hAnsi="Arial" w:cs="Arial"/>
          <w:sz w:val="24"/>
          <w:szCs w:val="20"/>
        </w:rPr>
      </w:pPr>
    </w:p>
    <w:p w14:paraId="5A39BBE3" w14:textId="77777777" w:rsidR="00D4132A" w:rsidRPr="00D4132A" w:rsidRDefault="00D4132A" w:rsidP="00F02DE9">
      <w:pPr>
        <w:spacing w:after="0" w:line="240" w:lineRule="auto"/>
        <w:contextualSpacing/>
        <w:rPr>
          <w:rFonts w:ascii="Arial" w:hAnsi="Arial" w:cs="Arial"/>
          <w:sz w:val="24"/>
          <w:szCs w:val="20"/>
        </w:rPr>
      </w:pPr>
    </w:p>
    <w:p w14:paraId="41C8F396" w14:textId="77777777" w:rsidR="00D4132A" w:rsidRPr="00D4132A" w:rsidRDefault="00D4132A" w:rsidP="00F02DE9">
      <w:pPr>
        <w:spacing w:after="0" w:line="240" w:lineRule="auto"/>
        <w:contextualSpacing/>
        <w:rPr>
          <w:rFonts w:ascii="Arial" w:hAnsi="Arial" w:cs="Arial"/>
          <w:sz w:val="24"/>
          <w:szCs w:val="20"/>
        </w:rPr>
      </w:pPr>
    </w:p>
    <w:p w14:paraId="72A3D3EC" w14:textId="77777777" w:rsidR="00D4132A" w:rsidRPr="00D4132A" w:rsidRDefault="00D4132A" w:rsidP="00F02DE9">
      <w:pPr>
        <w:spacing w:after="0" w:line="240" w:lineRule="auto"/>
        <w:contextualSpacing/>
        <w:rPr>
          <w:rFonts w:ascii="Arial" w:hAnsi="Arial" w:cs="Arial"/>
          <w:sz w:val="24"/>
          <w:szCs w:val="20"/>
        </w:rPr>
      </w:pPr>
    </w:p>
    <w:p w14:paraId="0D0B940D" w14:textId="77777777" w:rsidR="00D4132A" w:rsidRPr="00D4132A" w:rsidRDefault="00D4132A" w:rsidP="00F02DE9">
      <w:pPr>
        <w:spacing w:after="0" w:line="240" w:lineRule="auto"/>
        <w:contextualSpacing/>
        <w:rPr>
          <w:rFonts w:ascii="Arial" w:hAnsi="Arial" w:cs="Arial"/>
          <w:sz w:val="24"/>
          <w:szCs w:val="20"/>
        </w:rPr>
      </w:pPr>
    </w:p>
    <w:p w14:paraId="0E27B00A" w14:textId="77777777" w:rsidR="00D4132A" w:rsidRPr="00D4132A" w:rsidRDefault="00D4132A" w:rsidP="00F02DE9">
      <w:pPr>
        <w:spacing w:after="0" w:line="240" w:lineRule="auto"/>
        <w:contextualSpacing/>
        <w:rPr>
          <w:rFonts w:ascii="Arial" w:hAnsi="Arial" w:cs="Arial"/>
          <w:sz w:val="24"/>
          <w:szCs w:val="20"/>
        </w:rPr>
      </w:pPr>
    </w:p>
    <w:p w14:paraId="60061E4C" w14:textId="77777777" w:rsidR="00D4132A" w:rsidRPr="00D4132A" w:rsidRDefault="00D4132A" w:rsidP="00F02DE9">
      <w:pPr>
        <w:spacing w:after="0" w:line="240" w:lineRule="auto"/>
        <w:contextualSpacing/>
        <w:rPr>
          <w:rFonts w:ascii="Arial" w:hAnsi="Arial" w:cs="Arial"/>
          <w:sz w:val="24"/>
          <w:szCs w:val="20"/>
        </w:rPr>
      </w:pPr>
    </w:p>
    <w:p w14:paraId="44EAFD9C" w14:textId="77777777" w:rsidR="00D4132A" w:rsidRPr="00D4132A" w:rsidRDefault="00D4132A" w:rsidP="00F02DE9">
      <w:pPr>
        <w:spacing w:after="0" w:line="240" w:lineRule="auto"/>
        <w:contextualSpacing/>
        <w:rPr>
          <w:rFonts w:ascii="Arial" w:hAnsi="Arial" w:cs="Arial"/>
          <w:sz w:val="24"/>
          <w:szCs w:val="20"/>
        </w:rPr>
      </w:pPr>
    </w:p>
    <w:p w14:paraId="4B94D5A5" w14:textId="77777777" w:rsidR="00D4132A" w:rsidRPr="00D4132A" w:rsidRDefault="00D4132A" w:rsidP="00F02DE9">
      <w:pPr>
        <w:spacing w:after="0" w:line="240" w:lineRule="auto"/>
        <w:contextualSpacing/>
        <w:rPr>
          <w:rFonts w:ascii="Arial" w:hAnsi="Arial" w:cs="Arial"/>
          <w:sz w:val="24"/>
          <w:szCs w:val="20"/>
        </w:rPr>
      </w:pPr>
    </w:p>
    <w:p w14:paraId="3DEEC669" w14:textId="178FBA15" w:rsidR="00D4132A" w:rsidRPr="005C4FAD" w:rsidRDefault="005C4FAD" w:rsidP="00F02DE9">
      <w:pPr>
        <w:spacing w:after="0" w:line="240" w:lineRule="auto"/>
        <w:contextualSpacing/>
        <w:rPr>
          <w:rFonts w:ascii="Arial" w:hAnsi="Arial" w:cs="Arial"/>
          <w:b/>
          <w:bCs/>
          <w:color w:val="0070C0"/>
          <w:sz w:val="24"/>
          <w:szCs w:val="20"/>
        </w:rPr>
      </w:pPr>
      <w:r w:rsidRPr="005C4FAD">
        <w:rPr>
          <w:rFonts w:ascii="Arial" w:hAnsi="Arial" w:cs="Arial"/>
          <w:b/>
          <w:bCs/>
          <w:color w:val="0070C0"/>
          <w:sz w:val="24"/>
          <w:szCs w:val="20"/>
        </w:rPr>
        <w:lastRenderedPageBreak/>
        <w:t>7. SOCIAL VALUE</w:t>
      </w:r>
    </w:p>
    <w:p w14:paraId="442D2537" w14:textId="77777777" w:rsidR="005C4FAD" w:rsidRDefault="005C4FAD" w:rsidP="005C4FAD">
      <w:pPr>
        <w:spacing w:after="120" w:line="240" w:lineRule="auto"/>
        <w:rPr>
          <w:rFonts w:ascii="Arial" w:eastAsia="Arial" w:hAnsi="Arial" w:cs="Arial"/>
          <w:b/>
          <w:bCs/>
          <w:color w:val="0070C0"/>
        </w:rPr>
      </w:pPr>
    </w:p>
    <w:p w14:paraId="26547CEB" w14:textId="3C87E370" w:rsidR="005C4FAD" w:rsidRDefault="005C4FAD" w:rsidP="005C4FAD">
      <w:pPr>
        <w:spacing w:after="120" w:line="240" w:lineRule="auto"/>
        <w:rPr>
          <w:rFonts w:ascii="Arial" w:eastAsia="Arial" w:hAnsi="Arial" w:cs="Arial"/>
          <w:b/>
          <w:bCs/>
          <w:color w:val="0070C0"/>
        </w:rPr>
      </w:pPr>
      <w:r w:rsidRPr="3A5FC954">
        <w:rPr>
          <w:rFonts w:ascii="Arial" w:eastAsia="Arial" w:hAnsi="Arial" w:cs="Arial"/>
          <w:b/>
          <w:bCs/>
          <w:color w:val="0070C0"/>
        </w:rPr>
        <w:t>Overall Approach to Social Value for this project</w:t>
      </w:r>
    </w:p>
    <w:p w14:paraId="12490742" w14:textId="77777777" w:rsidR="005C4FAD" w:rsidRDefault="005C4FAD" w:rsidP="005C4FAD">
      <w:pPr>
        <w:spacing w:after="120" w:line="240" w:lineRule="auto"/>
        <w:rPr>
          <w:rFonts w:ascii="Arial" w:eastAsia="Arial" w:hAnsi="Arial" w:cs="Arial"/>
          <w:color w:val="000000" w:themeColor="text1"/>
        </w:rPr>
      </w:pPr>
      <w:r w:rsidRPr="3A5FC954">
        <w:rPr>
          <w:rFonts w:ascii="Arial" w:eastAsia="Arial" w:hAnsi="Arial" w:cs="Arial"/>
          <w:color w:val="000000" w:themeColor="text1"/>
        </w:rPr>
        <w:t xml:space="preserve">Throughout contract delivery, </w:t>
      </w:r>
      <w:r>
        <w:rPr>
          <w:rFonts w:ascii="Arial" w:eastAsia="Arial" w:hAnsi="Arial" w:cs="Arial"/>
          <w:color w:val="000000" w:themeColor="text1"/>
        </w:rPr>
        <w:t>we</w:t>
      </w:r>
      <w:r w:rsidRPr="3A5FC954">
        <w:rPr>
          <w:rFonts w:ascii="Arial" w:eastAsia="Arial" w:hAnsi="Arial" w:cs="Arial"/>
          <w:color w:val="000000" w:themeColor="text1"/>
        </w:rPr>
        <w:t xml:space="preserve"> will strive to achieve social value by bringing additional environmental benefits and tackling economic inequality. These themes are intrinsically linked to artificial intelligence and align with </w:t>
      </w:r>
      <w:r>
        <w:rPr>
          <w:rFonts w:ascii="Arial" w:eastAsia="Arial" w:hAnsi="Arial" w:cs="Arial"/>
          <w:color w:val="000000" w:themeColor="text1"/>
        </w:rPr>
        <w:t xml:space="preserve">our organisation’s </w:t>
      </w:r>
      <w:r w:rsidRPr="3A5FC954">
        <w:rPr>
          <w:rFonts w:ascii="Arial" w:eastAsia="Arial" w:hAnsi="Arial" w:cs="Arial"/>
          <w:color w:val="000000" w:themeColor="text1"/>
        </w:rPr>
        <w:t>corporate Environmental, Social and Governance commitments and activities.</w:t>
      </w:r>
      <w:r>
        <w:rPr>
          <w:rFonts w:ascii="Arial" w:eastAsia="Arial" w:hAnsi="Arial" w:cs="Arial"/>
          <w:color w:val="000000" w:themeColor="text1"/>
        </w:rPr>
        <w:t xml:space="preserve"> The </w:t>
      </w:r>
      <w:r w:rsidRPr="3A5FC954">
        <w:rPr>
          <w:rFonts w:ascii="Arial" w:eastAsia="Arial" w:hAnsi="Arial" w:cs="Arial"/>
          <w:color w:val="000000" w:themeColor="text1"/>
        </w:rPr>
        <w:t>Project Manager will have overall responsibility for monitoring and overseeing the implementation of the Social Value approach. Our commitments will be monitored throughout the project and amended if required, to reflect any advances in our corporate commitments as well as any changes at project level</w:t>
      </w:r>
      <w:r>
        <w:rPr>
          <w:rFonts w:ascii="Arial" w:eastAsia="Arial" w:hAnsi="Arial" w:cs="Arial"/>
          <w:color w:val="000000" w:themeColor="text1"/>
        </w:rPr>
        <w:t xml:space="preserve"> or the views of DSIT</w:t>
      </w:r>
      <w:r w:rsidRPr="3A5FC954">
        <w:rPr>
          <w:rFonts w:ascii="Arial" w:eastAsia="Arial" w:hAnsi="Arial" w:cs="Arial"/>
          <w:color w:val="000000" w:themeColor="text1"/>
        </w:rPr>
        <w:t xml:space="preserve">. At project inception, we will hold an initial project meeting to discuss the Social Value </w:t>
      </w:r>
      <w:proofErr w:type="gramStart"/>
      <w:r w:rsidRPr="3A5FC954">
        <w:rPr>
          <w:rFonts w:ascii="Arial" w:eastAsia="Arial" w:hAnsi="Arial" w:cs="Arial"/>
          <w:color w:val="000000" w:themeColor="text1"/>
        </w:rPr>
        <w:t>Plan</w:t>
      </w:r>
      <w:proofErr w:type="gramEnd"/>
      <w:r w:rsidRPr="3A5FC954">
        <w:rPr>
          <w:rFonts w:ascii="Arial" w:eastAsia="Arial" w:hAnsi="Arial" w:cs="Arial"/>
          <w:color w:val="000000" w:themeColor="text1"/>
        </w:rPr>
        <w:t xml:space="preserve"> and we will agree on a plan for implementation.</w:t>
      </w:r>
    </w:p>
    <w:p w14:paraId="16A8382F" w14:textId="77777777" w:rsidR="005C4FAD" w:rsidRDefault="005C4FAD" w:rsidP="005C4FAD">
      <w:pPr>
        <w:pStyle w:val="ListParagraph"/>
        <w:numPr>
          <w:ilvl w:val="0"/>
          <w:numId w:val="5"/>
        </w:numPr>
        <w:spacing w:after="120" w:line="240" w:lineRule="auto"/>
        <w:rPr>
          <w:rFonts w:ascii="Arial" w:eastAsia="Arial" w:hAnsi="Arial" w:cs="Arial"/>
          <w:b/>
          <w:bCs/>
          <w:color w:val="000000" w:themeColor="text1"/>
        </w:rPr>
      </w:pPr>
      <w:r w:rsidRPr="3A5FC954">
        <w:rPr>
          <w:rFonts w:ascii="Arial" w:eastAsia="Arial" w:hAnsi="Arial" w:cs="Arial"/>
          <w:b/>
          <w:bCs/>
          <w:color w:val="0070C0"/>
        </w:rPr>
        <w:t>Achieving additional environmental benefits</w:t>
      </w:r>
    </w:p>
    <w:p w14:paraId="4E80284F" w14:textId="77777777" w:rsidR="005C4FAD" w:rsidRDefault="005C4FAD" w:rsidP="005C4FAD">
      <w:pPr>
        <w:spacing w:after="120" w:line="240" w:lineRule="auto"/>
        <w:rPr>
          <w:rFonts w:ascii="Arial" w:eastAsia="Arial" w:hAnsi="Arial" w:cs="Arial"/>
        </w:rPr>
      </w:pPr>
      <w:r>
        <w:rPr>
          <w:rFonts w:ascii="Arial" w:eastAsia="Arial" w:hAnsi="Arial" w:cs="Arial"/>
          <w:color w:val="000000" w:themeColor="text1"/>
        </w:rPr>
        <w:t>Our organization was amongst</w:t>
      </w:r>
      <w:r w:rsidRPr="3A5FC954">
        <w:rPr>
          <w:rFonts w:ascii="Arial" w:eastAsia="Arial" w:hAnsi="Arial" w:cs="Arial"/>
          <w:color w:val="000000" w:themeColor="text1"/>
        </w:rPr>
        <w:t xml:space="preserve"> the first international research compan</w:t>
      </w:r>
      <w:r>
        <w:rPr>
          <w:rFonts w:ascii="Arial" w:eastAsia="Arial" w:hAnsi="Arial" w:cs="Arial"/>
          <w:color w:val="000000" w:themeColor="text1"/>
        </w:rPr>
        <w:t>ies</w:t>
      </w:r>
      <w:r w:rsidRPr="3A5FC954">
        <w:rPr>
          <w:rFonts w:ascii="Arial" w:eastAsia="Arial" w:hAnsi="Arial" w:cs="Arial"/>
          <w:color w:val="000000" w:themeColor="text1"/>
        </w:rPr>
        <w:t xml:space="preserve"> to sign the UN Global Compact in 2008, respecting ten universal principles which include the commitment to ensure sustainable consumption and production patterns, and to take urgent action to combat climate change and its impact. At the core of our environmental activities is achieving Net Zero, which is reflected in our annually published Carbon Reduction Plan. The plan provides details of our progress in achieving our goal of Net Zero by 2050 with a “near-term” target of a 50% reduction in scope 1 and 2 emissions and 25% reduction in scope 3 emissions by 2030. This goal is being achieved through our sustainable development strategy ‘Taking Responsibility’, which contains a broad range of policies designed to mitigate our environmental impact through minimising waste and energy consumption and encouraging volunteering.</w:t>
      </w:r>
      <w:r w:rsidRPr="3A5FC954">
        <w:rPr>
          <w:rFonts w:ascii="Arial" w:eastAsia="Arial" w:hAnsi="Arial" w:cs="Arial"/>
          <w:i/>
          <w:iCs/>
          <w:color w:val="000000" w:themeColor="text1"/>
        </w:rPr>
        <w:t xml:space="preserve"> </w:t>
      </w:r>
      <w:r>
        <w:rPr>
          <w:rFonts w:ascii="Arial" w:eastAsia="Arial" w:hAnsi="Arial" w:cs="Arial"/>
          <w:color w:val="000000" w:themeColor="text1"/>
        </w:rPr>
        <w:t>E</w:t>
      </w:r>
      <w:r w:rsidRPr="3A5FC954">
        <w:rPr>
          <w:rFonts w:ascii="Arial" w:eastAsia="Arial" w:hAnsi="Arial" w:cs="Arial"/>
          <w:color w:val="000000" w:themeColor="text1"/>
        </w:rPr>
        <w:t xml:space="preserve">mployees </w:t>
      </w:r>
      <w:r>
        <w:rPr>
          <w:rFonts w:ascii="Arial" w:eastAsia="Arial" w:hAnsi="Arial" w:cs="Arial"/>
          <w:color w:val="000000" w:themeColor="text1"/>
        </w:rPr>
        <w:t xml:space="preserve">are able and are encouraged to use </w:t>
      </w:r>
      <w:r w:rsidRPr="3A5FC954">
        <w:rPr>
          <w:rFonts w:ascii="Arial" w:eastAsia="Arial" w:hAnsi="Arial" w:cs="Arial"/>
          <w:color w:val="000000" w:themeColor="text1"/>
        </w:rPr>
        <w:t xml:space="preserve">two ‘Responding Responsibly’ days annually for voluntary participation in charitable activities of their choice, including environmental non-profits. </w:t>
      </w:r>
      <w:r>
        <w:rPr>
          <w:rFonts w:ascii="Arial" w:eastAsia="Arial" w:hAnsi="Arial" w:cs="Arial"/>
          <w:color w:val="000000" w:themeColor="text1"/>
        </w:rPr>
        <w:t>We</w:t>
      </w:r>
      <w:r w:rsidRPr="3A5FC954">
        <w:rPr>
          <w:rFonts w:ascii="Arial" w:eastAsia="Arial" w:hAnsi="Arial" w:cs="Arial"/>
          <w:color w:val="000000" w:themeColor="text1"/>
        </w:rPr>
        <w:t xml:space="preserve"> directly partner with environmental charities, such as Trees for Cities, a UK charity which improves lives by planting trees. These environmental commitments have led </w:t>
      </w:r>
      <w:r>
        <w:rPr>
          <w:rFonts w:ascii="Arial" w:eastAsia="Arial" w:hAnsi="Arial" w:cs="Arial"/>
          <w:color w:val="000000" w:themeColor="text1"/>
        </w:rPr>
        <w:t>us</w:t>
      </w:r>
      <w:r w:rsidRPr="3A5FC954">
        <w:rPr>
          <w:rFonts w:ascii="Arial" w:eastAsia="Arial" w:hAnsi="Arial" w:cs="Arial"/>
          <w:color w:val="000000" w:themeColor="text1"/>
        </w:rPr>
        <w:t xml:space="preserve"> to get a gold rating from ESG rating agency </w:t>
      </w:r>
      <w:proofErr w:type="spellStart"/>
      <w:r w:rsidRPr="3A5FC954">
        <w:rPr>
          <w:rFonts w:ascii="Arial" w:eastAsia="Arial" w:hAnsi="Arial" w:cs="Arial"/>
          <w:color w:val="000000" w:themeColor="text1"/>
        </w:rPr>
        <w:t>Ecovadis</w:t>
      </w:r>
      <w:proofErr w:type="spellEnd"/>
      <w:r w:rsidRPr="3A5FC954">
        <w:rPr>
          <w:rFonts w:ascii="Arial" w:eastAsia="Arial" w:hAnsi="Arial" w:cs="Arial"/>
          <w:color w:val="000000" w:themeColor="text1"/>
        </w:rPr>
        <w:t xml:space="preserve"> as of 2022/23.</w:t>
      </w:r>
    </w:p>
    <w:p w14:paraId="2597323F" w14:textId="77777777" w:rsidR="005C4FAD" w:rsidRDefault="005C4FAD" w:rsidP="005C4FAD">
      <w:pPr>
        <w:pStyle w:val="ListParagraph"/>
        <w:numPr>
          <w:ilvl w:val="0"/>
          <w:numId w:val="5"/>
        </w:numPr>
        <w:spacing w:after="120" w:line="240" w:lineRule="auto"/>
        <w:rPr>
          <w:rFonts w:ascii="Arial" w:eastAsia="Arial" w:hAnsi="Arial" w:cs="Arial"/>
          <w:b/>
          <w:bCs/>
          <w:color w:val="000000" w:themeColor="text1"/>
        </w:rPr>
      </w:pPr>
      <w:r w:rsidRPr="3A5FC954">
        <w:rPr>
          <w:rFonts w:ascii="Arial" w:eastAsia="Arial" w:hAnsi="Arial" w:cs="Arial"/>
          <w:b/>
          <w:bCs/>
          <w:color w:val="0070C0"/>
        </w:rPr>
        <w:t>Tackling economic inequality</w:t>
      </w:r>
    </w:p>
    <w:p w14:paraId="346F62AB" w14:textId="77777777" w:rsidR="005C4FAD" w:rsidRDefault="005C4FAD" w:rsidP="005C4FAD">
      <w:pPr>
        <w:spacing w:after="120" w:line="240" w:lineRule="auto"/>
        <w:jc w:val="both"/>
        <w:rPr>
          <w:rFonts w:ascii="Arial" w:eastAsia="Arial" w:hAnsi="Arial" w:cs="Arial"/>
          <w:b/>
          <w:bCs/>
          <w:color w:val="2F469C"/>
        </w:rPr>
      </w:pPr>
      <w:r>
        <w:rPr>
          <w:rFonts w:ascii="Arial" w:eastAsia="Arial" w:hAnsi="Arial" w:cs="Arial"/>
          <w:color w:val="000000" w:themeColor="text1"/>
        </w:rPr>
        <w:t>We are</w:t>
      </w:r>
      <w:r w:rsidRPr="3A5FC954">
        <w:rPr>
          <w:rFonts w:ascii="Arial" w:eastAsia="Arial" w:hAnsi="Arial" w:cs="Arial"/>
          <w:color w:val="000000" w:themeColor="text1"/>
        </w:rPr>
        <w:t xml:space="preserve"> committed to tackling economic inequality through operational and managerial processes that promote equal opportunity, which will be ongoing during this contract. Our organisation has a central diversity and inclusion programme named ‘Belong’. It oversees various initiatives and networks such as the Race, Ethnicity, and Cultural Heritage (RACE) network, designed to help us achieve equality targets in areas such as recruitment, training, and career advancement. </w:t>
      </w:r>
      <w:r>
        <w:rPr>
          <w:rFonts w:ascii="Arial" w:eastAsia="Arial" w:hAnsi="Arial" w:cs="Arial"/>
          <w:color w:val="000000" w:themeColor="text1"/>
        </w:rPr>
        <w:t>We also monitor and publish</w:t>
      </w:r>
      <w:r w:rsidRPr="3A5FC954">
        <w:rPr>
          <w:rFonts w:ascii="Arial" w:eastAsia="Arial" w:hAnsi="Arial" w:cs="Arial"/>
          <w:color w:val="000000" w:themeColor="text1"/>
        </w:rPr>
        <w:t xml:space="preserve"> its gender pay gap and has policies in place to maintain gender equality overall and across grades. Other important initiatives include our Refugee Programme, in partnership with Breaking Barriers, through which we assist refugees in accessing sustainable employment. Our global aim is to employ 100 refugees by 2026, and since 2019, we have already hired 5 refugees from Sudan, Sierra Leone, Syria, Nigeria, and Iran. Since 2017, we have been part of the UK Government Disability Confident Employers' Scheme, designed to help companies recruit and retain disabled individuals and those with health conditions for their skills</w:t>
      </w:r>
      <w:r>
        <w:rPr>
          <w:rFonts w:ascii="Arial" w:eastAsia="Arial" w:hAnsi="Arial" w:cs="Arial"/>
          <w:color w:val="000000" w:themeColor="text1"/>
        </w:rPr>
        <w:t>. We tackle</w:t>
      </w:r>
      <w:r w:rsidRPr="3A5FC954">
        <w:rPr>
          <w:rFonts w:ascii="Arial" w:eastAsia="Arial" w:hAnsi="Arial" w:cs="Arial"/>
          <w:color w:val="000000" w:themeColor="text1"/>
        </w:rPr>
        <w:t xml:space="preserve"> economic inequality through </w:t>
      </w:r>
      <w:r>
        <w:rPr>
          <w:rFonts w:ascii="Arial" w:eastAsia="Arial" w:hAnsi="Arial" w:cs="Arial"/>
          <w:color w:val="000000" w:themeColor="text1"/>
        </w:rPr>
        <w:t>our charitable Foundation</w:t>
      </w:r>
      <w:r w:rsidRPr="3A5FC954">
        <w:rPr>
          <w:rFonts w:ascii="Arial" w:eastAsia="Arial" w:hAnsi="Arial" w:cs="Arial"/>
          <w:color w:val="000000" w:themeColor="text1"/>
        </w:rPr>
        <w:t xml:space="preserve">. In 2023, the Foundation secured £28,630 in funding to support </w:t>
      </w:r>
      <w:proofErr w:type="spellStart"/>
      <w:r w:rsidRPr="3A5FC954">
        <w:rPr>
          <w:rFonts w:ascii="Arial" w:eastAsia="Arial" w:hAnsi="Arial" w:cs="Arial"/>
          <w:color w:val="000000" w:themeColor="text1"/>
        </w:rPr>
        <w:lastRenderedPageBreak/>
        <w:t>TalentEd</w:t>
      </w:r>
      <w:proofErr w:type="spellEnd"/>
      <w:r w:rsidRPr="3A5FC954">
        <w:rPr>
          <w:rFonts w:ascii="Arial" w:eastAsia="Arial" w:hAnsi="Arial" w:cs="Arial"/>
          <w:color w:val="000000" w:themeColor="text1"/>
        </w:rPr>
        <w:t xml:space="preserve">, a charity that will launch 25 online School Tuition Programmes to provide tuition to 75 disadvantaged </w:t>
      </w:r>
      <w:r>
        <w:rPr>
          <w:rFonts w:ascii="Arial" w:eastAsia="Arial" w:hAnsi="Arial" w:cs="Arial"/>
          <w:color w:val="000000" w:themeColor="text1"/>
        </w:rPr>
        <w:t xml:space="preserve">UK </w:t>
      </w:r>
      <w:r w:rsidRPr="3A5FC954">
        <w:rPr>
          <w:rFonts w:ascii="Arial" w:eastAsia="Arial" w:hAnsi="Arial" w:cs="Arial"/>
          <w:color w:val="000000" w:themeColor="text1"/>
        </w:rPr>
        <w:t>students.</w:t>
      </w:r>
    </w:p>
    <w:p w14:paraId="30291469" w14:textId="77777777" w:rsidR="005C4FAD" w:rsidRDefault="005C4FAD" w:rsidP="005C4FAD">
      <w:pPr>
        <w:spacing w:after="120" w:line="240" w:lineRule="auto"/>
        <w:jc w:val="both"/>
        <w:rPr>
          <w:rFonts w:ascii="Arial" w:eastAsia="Arial" w:hAnsi="Arial" w:cs="Arial"/>
          <w:b/>
          <w:bCs/>
          <w:color w:val="0070C0"/>
        </w:rPr>
      </w:pPr>
      <w:r w:rsidRPr="3A5FC954">
        <w:rPr>
          <w:rFonts w:ascii="Arial" w:eastAsia="Arial" w:hAnsi="Arial" w:cs="Arial"/>
          <w:b/>
          <w:bCs/>
          <w:color w:val="0070C0"/>
        </w:rPr>
        <w:t xml:space="preserve">Table 1. Social Value Plan and </w:t>
      </w:r>
      <w:r>
        <w:rPr>
          <w:rFonts w:ascii="Arial" w:eastAsia="Arial" w:hAnsi="Arial" w:cs="Arial"/>
          <w:b/>
          <w:bCs/>
          <w:color w:val="0070C0"/>
        </w:rPr>
        <w:t>planned c</w:t>
      </w:r>
      <w:r w:rsidRPr="3A5FC954">
        <w:rPr>
          <w:rFonts w:ascii="Arial" w:eastAsia="Arial" w:hAnsi="Arial" w:cs="Arial"/>
          <w:b/>
          <w:bCs/>
          <w:color w:val="0070C0"/>
        </w:rPr>
        <w:t xml:space="preserve">ommitments </w:t>
      </w:r>
      <w:r>
        <w:rPr>
          <w:rFonts w:ascii="Arial" w:eastAsia="Arial" w:hAnsi="Arial" w:cs="Arial"/>
          <w:b/>
          <w:bCs/>
          <w:color w:val="0070C0"/>
        </w:rPr>
        <w:t>for this</w:t>
      </w:r>
      <w:r w:rsidRPr="3A5FC954">
        <w:rPr>
          <w:rFonts w:ascii="Arial" w:eastAsia="Arial" w:hAnsi="Arial" w:cs="Arial"/>
          <w:b/>
          <w:bCs/>
          <w:color w:val="0070C0"/>
        </w:rPr>
        <w:t xml:space="preserve"> contract </w:t>
      </w:r>
    </w:p>
    <w:tbl>
      <w:tblPr>
        <w:tblStyle w:val="TableGrid"/>
        <w:tblW w:w="9465"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3885"/>
        <w:gridCol w:w="2235"/>
        <w:gridCol w:w="3345"/>
      </w:tblGrid>
      <w:tr w:rsidR="005C4FAD" w14:paraId="2A6AA0C0" w14:textId="77777777">
        <w:trPr>
          <w:trHeight w:val="300"/>
        </w:trPr>
        <w:tc>
          <w:tcPr>
            <w:tcW w:w="3885" w:type="dxa"/>
            <w:tcBorders>
              <w:top w:val="single" w:sz="6" w:space="0" w:color="auto"/>
              <w:left w:val="single" w:sz="6" w:space="0" w:color="auto"/>
              <w:bottom w:val="single" w:sz="6" w:space="0" w:color="auto"/>
              <w:right w:val="single" w:sz="6" w:space="0" w:color="auto"/>
            </w:tcBorders>
            <w:shd w:val="clear" w:color="auto" w:fill="002060"/>
            <w:tcMar>
              <w:left w:w="105" w:type="dxa"/>
              <w:right w:w="105" w:type="dxa"/>
            </w:tcMar>
          </w:tcPr>
          <w:p w14:paraId="3300D544" w14:textId="77777777" w:rsidR="005C4FAD" w:rsidRDefault="005C4FAD">
            <w:pPr>
              <w:rPr>
                <w:rFonts w:ascii="Arial" w:eastAsia="Arial" w:hAnsi="Arial" w:cs="Arial"/>
                <w:color w:val="FFFFFF" w:themeColor="background1"/>
                <w:sz w:val="22"/>
                <w:szCs w:val="22"/>
              </w:rPr>
            </w:pPr>
            <w:r w:rsidRPr="3A5FC954">
              <w:rPr>
                <w:rFonts w:ascii="Arial" w:eastAsia="Arial" w:hAnsi="Arial" w:cs="Arial"/>
                <w:b/>
                <w:bCs/>
                <w:color w:val="FFFFFF" w:themeColor="background1"/>
                <w:sz w:val="22"/>
                <w:szCs w:val="22"/>
              </w:rPr>
              <w:t>Commitment</w:t>
            </w:r>
          </w:p>
        </w:tc>
        <w:tc>
          <w:tcPr>
            <w:tcW w:w="2235" w:type="dxa"/>
            <w:tcBorders>
              <w:top w:val="single" w:sz="6" w:space="0" w:color="auto"/>
              <w:left w:val="single" w:sz="6" w:space="0" w:color="auto"/>
              <w:bottom w:val="single" w:sz="6" w:space="0" w:color="auto"/>
              <w:right w:val="single" w:sz="6" w:space="0" w:color="auto"/>
            </w:tcBorders>
            <w:shd w:val="clear" w:color="auto" w:fill="002060"/>
            <w:tcMar>
              <w:left w:w="105" w:type="dxa"/>
              <w:right w:w="105" w:type="dxa"/>
            </w:tcMar>
          </w:tcPr>
          <w:p w14:paraId="4202525E" w14:textId="77777777" w:rsidR="005C4FAD" w:rsidRDefault="005C4FAD">
            <w:pPr>
              <w:rPr>
                <w:rFonts w:ascii="Arial" w:eastAsia="Arial" w:hAnsi="Arial" w:cs="Arial"/>
                <w:color w:val="FFFFFF" w:themeColor="background1"/>
                <w:sz w:val="22"/>
                <w:szCs w:val="22"/>
              </w:rPr>
            </w:pPr>
            <w:r w:rsidRPr="3A5FC954">
              <w:rPr>
                <w:rFonts w:ascii="Arial" w:eastAsia="Arial" w:hAnsi="Arial" w:cs="Arial"/>
                <w:b/>
                <w:bCs/>
                <w:color w:val="FFFFFF" w:themeColor="background1"/>
                <w:sz w:val="22"/>
                <w:szCs w:val="22"/>
              </w:rPr>
              <w:t>Timeframe</w:t>
            </w:r>
          </w:p>
        </w:tc>
        <w:tc>
          <w:tcPr>
            <w:tcW w:w="3345" w:type="dxa"/>
            <w:tcBorders>
              <w:top w:val="single" w:sz="6" w:space="0" w:color="auto"/>
              <w:left w:val="single" w:sz="6" w:space="0" w:color="auto"/>
              <w:bottom w:val="single" w:sz="6" w:space="0" w:color="auto"/>
              <w:right w:val="single" w:sz="6" w:space="0" w:color="auto"/>
            </w:tcBorders>
            <w:shd w:val="clear" w:color="auto" w:fill="002060"/>
            <w:tcMar>
              <w:left w:w="105" w:type="dxa"/>
              <w:right w:w="105" w:type="dxa"/>
            </w:tcMar>
          </w:tcPr>
          <w:p w14:paraId="6E1EB09E" w14:textId="77777777" w:rsidR="005C4FAD" w:rsidRDefault="005C4FAD">
            <w:pPr>
              <w:rPr>
                <w:rFonts w:ascii="Arial" w:eastAsia="Arial" w:hAnsi="Arial" w:cs="Arial"/>
                <w:b/>
                <w:bCs/>
                <w:color w:val="FFFFFF" w:themeColor="background1"/>
                <w:sz w:val="22"/>
                <w:szCs w:val="22"/>
              </w:rPr>
            </w:pPr>
            <w:r w:rsidRPr="3A5FC954">
              <w:rPr>
                <w:rFonts w:ascii="Arial" w:eastAsia="Arial" w:hAnsi="Arial" w:cs="Arial"/>
                <w:b/>
                <w:bCs/>
                <w:color w:val="FFFFFF" w:themeColor="background1"/>
                <w:sz w:val="22"/>
                <w:szCs w:val="22"/>
              </w:rPr>
              <w:t>KPI and monitoring/reporting</w:t>
            </w:r>
          </w:p>
        </w:tc>
      </w:tr>
      <w:tr w:rsidR="005C4FAD" w14:paraId="30B79520"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57A5A942" w14:textId="77777777" w:rsidR="005C4FAD" w:rsidRDefault="005C4FAD">
            <w:pPr>
              <w:rPr>
                <w:rFonts w:ascii="Arial" w:eastAsia="Arial" w:hAnsi="Arial" w:cs="Arial"/>
                <w:sz w:val="22"/>
                <w:szCs w:val="22"/>
              </w:rPr>
            </w:pPr>
            <w:r w:rsidRPr="3A5FC954">
              <w:rPr>
                <w:rFonts w:ascii="Arial" w:eastAsia="Arial" w:hAnsi="Arial" w:cs="Arial"/>
                <w:sz w:val="22"/>
                <w:szCs w:val="22"/>
              </w:rPr>
              <w:t>1. Tracking project level emissions. Ipsos is developing a tool to calculate project level emissions which will be ready at project inception. Using it in this contract will contribute to improving the tool for future rollout.</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095B3C12" w14:textId="77777777" w:rsidR="005C4FAD" w:rsidRDefault="005C4FAD">
            <w:pPr>
              <w:rPr>
                <w:rFonts w:ascii="Arial" w:eastAsia="Arial" w:hAnsi="Arial" w:cs="Arial"/>
                <w:sz w:val="22"/>
                <w:szCs w:val="22"/>
              </w:rPr>
            </w:pPr>
            <w:r w:rsidRPr="3A5FC954">
              <w:rPr>
                <w:rFonts w:ascii="Arial" w:eastAsia="Arial" w:hAnsi="Arial" w:cs="Arial"/>
                <w:sz w:val="22"/>
                <w:szCs w:val="22"/>
              </w:rPr>
              <w:t>Annual – October each year</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0C1C3205" w14:textId="77777777" w:rsidR="005C4FAD" w:rsidRDefault="005C4FAD">
            <w:pPr>
              <w:rPr>
                <w:rFonts w:ascii="Arial" w:eastAsia="Arial" w:hAnsi="Arial" w:cs="Arial"/>
                <w:sz w:val="22"/>
                <w:szCs w:val="22"/>
              </w:rPr>
            </w:pPr>
            <w:r w:rsidRPr="3A5FC954">
              <w:rPr>
                <w:rFonts w:ascii="Arial" w:eastAsia="Arial" w:hAnsi="Arial" w:cs="Arial"/>
                <w:sz w:val="22"/>
                <w:szCs w:val="22"/>
              </w:rPr>
              <w:t>Annual emissions and waste generated by the project and evidence of how it is reduced.</w:t>
            </w:r>
          </w:p>
        </w:tc>
      </w:tr>
      <w:tr w:rsidR="005C4FAD" w14:paraId="4AE932B6"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0DE0C605" w14:textId="77777777" w:rsidR="005C4FAD" w:rsidRDefault="005C4FAD">
            <w:pPr>
              <w:rPr>
                <w:rFonts w:ascii="Arial" w:eastAsia="Arial" w:hAnsi="Arial" w:cs="Arial"/>
                <w:sz w:val="22"/>
                <w:szCs w:val="22"/>
              </w:rPr>
            </w:pPr>
            <w:r w:rsidRPr="3A5FC954">
              <w:rPr>
                <w:rFonts w:ascii="Arial" w:eastAsia="Arial" w:hAnsi="Arial" w:cs="Arial"/>
                <w:sz w:val="22"/>
                <w:szCs w:val="22"/>
              </w:rPr>
              <w:t>2. Continued organisational measures to reduce emissions (minimising travel and prioritising active travel and public transport) and waste (maximising digital working and phasing out use of paper).</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031955AF" w14:textId="77777777" w:rsidR="005C4FAD" w:rsidRDefault="005C4FAD">
            <w:pPr>
              <w:rPr>
                <w:rFonts w:ascii="Arial" w:eastAsia="Arial" w:hAnsi="Arial" w:cs="Arial"/>
                <w:sz w:val="22"/>
                <w:szCs w:val="22"/>
              </w:rPr>
            </w:pPr>
            <w:r w:rsidRPr="3A5FC954">
              <w:rPr>
                <w:rFonts w:ascii="Arial" w:eastAsia="Arial" w:hAnsi="Arial" w:cs="Arial"/>
                <w:sz w:val="22"/>
                <w:szCs w:val="22"/>
              </w:rPr>
              <w:t>Monthly report of adherence to minimising travel and waste</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7DF8BFF6" w14:textId="77777777" w:rsidR="005C4FAD" w:rsidRDefault="005C4FAD">
            <w:pPr>
              <w:rPr>
                <w:rFonts w:ascii="Arial" w:eastAsia="Arial" w:hAnsi="Arial" w:cs="Arial"/>
                <w:sz w:val="22"/>
                <w:szCs w:val="22"/>
              </w:rPr>
            </w:pPr>
            <w:r w:rsidRPr="3A5FC954">
              <w:rPr>
                <w:rFonts w:ascii="Arial" w:eastAsia="Arial" w:hAnsi="Arial" w:cs="Arial"/>
                <w:sz w:val="22"/>
                <w:szCs w:val="22"/>
              </w:rPr>
              <w:t xml:space="preserve">Amount of time spent commuting through active or public transport by the contract workforce compared to travel by car or air. The project team continues to adhere to sustainable office practices. </w:t>
            </w:r>
          </w:p>
        </w:tc>
      </w:tr>
      <w:tr w:rsidR="005C4FAD" w14:paraId="5A919F14"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6F4B41B6" w14:textId="77777777" w:rsidR="005C4FAD" w:rsidRDefault="005C4FAD">
            <w:pPr>
              <w:rPr>
                <w:rFonts w:ascii="Arial" w:eastAsia="Arial" w:hAnsi="Arial" w:cs="Arial"/>
                <w:sz w:val="22"/>
                <w:szCs w:val="22"/>
              </w:rPr>
            </w:pPr>
            <w:r w:rsidRPr="3A5FC954">
              <w:rPr>
                <w:rFonts w:ascii="Arial" w:eastAsia="Arial" w:hAnsi="Arial" w:cs="Arial"/>
                <w:sz w:val="22"/>
                <w:szCs w:val="22"/>
              </w:rPr>
              <w:t>3. Conduct at least one Responding Responsibly volunteering day for the contract workforce for an environmental/sustainability charity during delivery of the contract.</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3524DBE7" w14:textId="77777777" w:rsidR="005C4FAD" w:rsidRDefault="005C4FAD">
            <w:pPr>
              <w:rPr>
                <w:rFonts w:ascii="Arial" w:eastAsia="Arial" w:hAnsi="Arial" w:cs="Arial"/>
                <w:sz w:val="22"/>
                <w:szCs w:val="22"/>
              </w:rPr>
            </w:pPr>
            <w:r w:rsidRPr="3A5FC954">
              <w:rPr>
                <w:rFonts w:ascii="Arial" w:eastAsia="Arial" w:hAnsi="Arial" w:cs="Arial"/>
                <w:sz w:val="22"/>
                <w:szCs w:val="22"/>
              </w:rPr>
              <w:t>At project completion</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6214FF43" w14:textId="77777777" w:rsidR="005C4FAD" w:rsidRDefault="005C4FAD">
            <w:pPr>
              <w:rPr>
                <w:rFonts w:ascii="Arial" w:eastAsia="Arial" w:hAnsi="Arial" w:cs="Arial"/>
                <w:sz w:val="22"/>
                <w:szCs w:val="22"/>
              </w:rPr>
            </w:pPr>
            <w:r w:rsidRPr="3A5FC954">
              <w:rPr>
                <w:rFonts w:ascii="Arial" w:eastAsia="Arial" w:hAnsi="Arial" w:cs="Arial"/>
                <w:sz w:val="22"/>
                <w:szCs w:val="22"/>
              </w:rPr>
              <w:t>No. of volunteering days undertaken. No. people-hours spent protecting and improving the environment under the contract.</w:t>
            </w:r>
          </w:p>
        </w:tc>
      </w:tr>
      <w:tr w:rsidR="005C4FAD" w14:paraId="5C0D41E5"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1F90B821" w14:textId="77777777" w:rsidR="005C4FAD" w:rsidRDefault="005C4FAD">
            <w:pPr>
              <w:rPr>
                <w:rFonts w:ascii="Arial" w:eastAsia="Arial" w:hAnsi="Arial" w:cs="Arial"/>
                <w:sz w:val="22"/>
                <w:szCs w:val="22"/>
              </w:rPr>
            </w:pPr>
            <w:r w:rsidRPr="3A5FC954">
              <w:rPr>
                <w:rFonts w:ascii="Arial" w:eastAsia="Arial" w:hAnsi="Arial" w:cs="Arial"/>
                <w:sz w:val="22"/>
                <w:szCs w:val="22"/>
              </w:rPr>
              <w:t>1. Equal opportunity within our project team - Monitor team gender/ethnicity balance and offer opportunities, including upskilling, to under-represented gender(s)/ ethnicities</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0DF4991E" w14:textId="77777777" w:rsidR="005C4FAD" w:rsidRDefault="005C4FAD">
            <w:pPr>
              <w:rPr>
                <w:rFonts w:ascii="Arial" w:eastAsia="Arial" w:hAnsi="Arial" w:cs="Arial"/>
                <w:sz w:val="22"/>
                <w:szCs w:val="22"/>
              </w:rPr>
            </w:pPr>
            <w:r w:rsidRPr="3A5FC954">
              <w:rPr>
                <w:rFonts w:ascii="Arial" w:eastAsia="Arial" w:hAnsi="Arial" w:cs="Arial"/>
                <w:sz w:val="22"/>
                <w:szCs w:val="22"/>
              </w:rPr>
              <w:t>Continuous – reported October each year</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7BA2C02E" w14:textId="77777777" w:rsidR="005C4FAD" w:rsidRDefault="005C4FAD">
            <w:pPr>
              <w:jc w:val="both"/>
              <w:rPr>
                <w:rFonts w:ascii="Arial" w:eastAsia="Arial" w:hAnsi="Arial" w:cs="Arial"/>
                <w:sz w:val="22"/>
                <w:szCs w:val="22"/>
              </w:rPr>
            </w:pPr>
            <w:r w:rsidRPr="3A5FC954">
              <w:rPr>
                <w:rFonts w:ascii="Arial" w:eastAsia="Arial" w:hAnsi="Arial" w:cs="Arial"/>
                <w:sz w:val="22"/>
                <w:szCs w:val="22"/>
              </w:rPr>
              <w:t>Gender and ethnicity balance within the team</w:t>
            </w:r>
          </w:p>
          <w:p w14:paraId="2DB38BF7" w14:textId="77777777" w:rsidR="005C4FAD" w:rsidRDefault="005C4FAD">
            <w:pPr>
              <w:rPr>
                <w:rFonts w:ascii="Arial" w:eastAsia="Arial" w:hAnsi="Arial" w:cs="Arial"/>
                <w:sz w:val="22"/>
                <w:szCs w:val="22"/>
              </w:rPr>
            </w:pPr>
          </w:p>
        </w:tc>
      </w:tr>
      <w:tr w:rsidR="005C4FAD" w14:paraId="34BCD57A" w14:textId="77777777">
        <w:trPr>
          <w:trHeight w:val="162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03A5CCC1" w14:textId="77777777" w:rsidR="005C4FAD" w:rsidRDefault="005C4FAD">
            <w:pPr>
              <w:rPr>
                <w:rFonts w:ascii="Arial" w:eastAsia="Arial" w:hAnsi="Arial" w:cs="Arial"/>
                <w:sz w:val="22"/>
                <w:szCs w:val="22"/>
              </w:rPr>
            </w:pPr>
            <w:r w:rsidRPr="3A5FC954">
              <w:rPr>
                <w:rFonts w:ascii="Arial" w:eastAsia="Arial" w:hAnsi="Arial" w:cs="Arial"/>
                <w:sz w:val="22"/>
                <w:szCs w:val="22"/>
              </w:rPr>
              <w:t>2. Encourage next generation to enter the industry. Ipsos will bring 1 intern/apprentice to work on the project and ensure 2 early careers staff are part of project team supporting their development</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0AACC46F" w14:textId="77777777" w:rsidR="005C4FAD" w:rsidRDefault="005C4FAD">
            <w:pPr>
              <w:rPr>
                <w:rFonts w:ascii="Arial" w:eastAsia="Arial" w:hAnsi="Arial" w:cs="Arial"/>
                <w:sz w:val="22"/>
                <w:szCs w:val="22"/>
              </w:rPr>
            </w:pPr>
            <w:r w:rsidRPr="3A5FC954">
              <w:rPr>
                <w:rFonts w:ascii="Arial" w:eastAsia="Arial" w:hAnsi="Arial" w:cs="Arial"/>
                <w:sz w:val="22"/>
                <w:szCs w:val="22"/>
              </w:rPr>
              <w:t>Continuous – reported October each year</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20F89245" w14:textId="77777777" w:rsidR="005C4FAD" w:rsidRDefault="005C4FAD">
            <w:pPr>
              <w:pStyle w:val="NoSpacing"/>
              <w:rPr>
                <w:rFonts w:ascii="Arial" w:eastAsia="Arial" w:hAnsi="Arial" w:cs="Arial"/>
                <w:sz w:val="22"/>
                <w:szCs w:val="22"/>
              </w:rPr>
            </w:pPr>
            <w:r w:rsidRPr="3A5FC954">
              <w:rPr>
                <w:rFonts w:ascii="Arial" w:eastAsia="Arial" w:hAnsi="Arial" w:cs="Arial"/>
                <w:sz w:val="22"/>
                <w:szCs w:val="22"/>
              </w:rPr>
              <w:t xml:space="preserve">Evidence of intern/apprentice involvement. Evidence of development in appraisals, and graduate </w:t>
            </w:r>
            <w:proofErr w:type="spellStart"/>
            <w:r w:rsidRPr="3A5FC954">
              <w:rPr>
                <w:rFonts w:ascii="Arial" w:eastAsia="Arial" w:hAnsi="Arial" w:cs="Arial"/>
                <w:sz w:val="22"/>
                <w:szCs w:val="22"/>
              </w:rPr>
              <w:t>programme</w:t>
            </w:r>
            <w:proofErr w:type="spellEnd"/>
            <w:r w:rsidRPr="3A5FC954">
              <w:rPr>
                <w:rFonts w:ascii="Arial" w:eastAsia="Arial" w:hAnsi="Arial" w:cs="Arial"/>
                <w:sz w:val="22"/>
                <w:szCs w:val="22"/>
              </w:rPr>
              <w:t xml:space="preserve"> progression</w:t>
            </w:r>
          </w:p>
          <w:p w14:paraId="7B102087" w14:textId="77777777" w:rsidR="005C4FAD" w:rsidRDefault="005C4FAD">
            <w:pPr>
              <w:jc w:val="both"/>
              <w:rPr>
                <w:rFonts w:ascii="Arial" w:eastAsia="Arial" w:hAnsi="Arial" w:cs="Arial"/>
                <w:sz w:val="22"/>
                <w:szCs w:val="22"/>
              </w:rPr>
            </w:pPr>
          </w:p>
        </w:tc>
      </w:tr>
      <w:tr w:rsidR="005C4FAD" w14:paraId="6BB15B51"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4B567BAB" w14:textId="77777777" w:rsidR="005C4FAD" w:rsidRDefault="005C4FAD">
            <w:pPr>
              <w:rPr>
                <w:rFonts w:ascii="Arial" w:eastAsia="Arial" w:hAnsi="Arial" w:cs="Arial"/>
                <w:sz w:val="22"/>
                <w:szCs w:val="22"/>
              </w:rPr>
            </w:pPr>
            <w:r w:rsidRPr="3A5FC954">
              <w:rPr>
                <w:rFonts w:ascii="Arial" w:eastAsia="Arial" w:hAnsi="Arial" w:cs="Arial"/>
                <w:sz w:val="22"/>
                <w:szCs w:val="22"/>
              </w:rPr>
              <w:t xml:space="preserve">3. Develop the skills of staff working on this contract. We are committed to fostering our staff’s capabilities, focusing on skill enhancement and professional growth for junior members, assuring a competent team that delivers superior outcomes for this contract. </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4FD31A80" w14:textId="77777777" w:rsidR="005C4FAD" w:rsidRDefault="005C4FAD">
            <w:pPr>
              <w:rPr>
                <w:rFonts w:ascii="Arial" w:eastAsia="Arial" w:hAnsi="Arial" w:cs="Arial"/>
                <w:sz w:val="22"/>
                <w:szCs w:val="22"/>
              </w:rPr>
            </w:pPr>
            <w:r w:rsidRPr="3A5FC954">
              <w:rPr>
                <w:rFonts w:ascii="Arial" w:eastAsia="Arial" w:hAnsi="Arial" w:cs="Arial"/>
                <w:sz w:val="22"/>
                <w:szCs w:val="22"/>
              </w:rPr>
              <w:t>Continuous until March 2026</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70AC6FFF" w14:textId="77777777" w:rsidR="005C4FAD" w:rsidRDefault="005C4FAD">
            <w:pPr>
              <w:rPr>
                <w:rFonts w:ascii="Arial" w:eastAsia="Arial" w:hAnsi="Arial" w:cs="Arial"/>
                <w:sz w:val="22"/>
                <w:szCs w:val="22"/>
              </w:rPr>
            </w:pPr>
            <w:r w:rsidRPr="3A5FC954">
              <w:rPr>
                <w:rFonts w:ascii="Arial" w:eastAsia="Arial" w:hAnsi="Arial" w:cs="Arial"/>
                <w:sz w:val="22"/>
                <w:szCs w:val="22"/>
              </w:rPr>
              <w:t>At least two junior staff members (graduate) working on the project at a time</w:t>
            </w:r>
          </w:p>
          <w:p w14:paraId="22517F20" w14:textId="77777777" w:rsidR="005C4FAD" w:rsidRDefault="005C4FAD">
            <w:pPr>
              <w:rPr>
                <w:rFonts w:ascii="Arial" w:eastAsia="Arial" w:hAnsi="Arial" w:cs="Arial"/>
                <w:color w:val="000000" w:themeColor="text1"/>
                <w:sz w:val="22"/>
                <w:szCs w:val="22"/>
              </w:rPr>
            </w:pPr>
            <w:r w:rsidRPr="3A5FC954">
              <w:rPr>
                <w:rFonts w:ascii="Arial" w:eastAsia="Arial" w:hAnsi="Arial" w:cs="Arial"/>
                <w:color w:val="000000" w:themeColor="text1"/>
                <w:sz w:val="22"/>
                <w:szCs w:val="22"/>
              </w:rPr>
              <w:t xml:space="preserve">No. of graduates working on the project. </w:t>
            </w:r>
          </w:p>
          <w:p w14:paraId="2B86C146" w14:textId="77777777" w:rsidR="005C4FAD" w:rsidRDefault="005C4FAD">
            <w:pPr>
              <w:rPr>
                <w:rFonts w:ascii="Arial" w:eastAsia="Arial" w:hAnsi="Arial" w:cs="Arial"/>
                <w:sz w:val="22"/>
                <w:szCs w:val="22"/>
              </w:rPr>
            </w:pPr>
            <w:r w:rsidRPr="3A5FC954">
              <w:rPr>
                <w:rFonts w:ascii="Arial" w:eastAsia="Arial" w:hAnsi="Arial" w:cs="Arial"/>
                <w:sz w:val="22"/>
                <w:szCs w:val="22"/>
              </w:rPr>
              <w:t>Feedback from graduates and line managers.</w:t>
            </w:r>
          </w:p>
        </w:tc>
      </w:tr>
      <w:tr w:rsidR="005C4FAD" w14:paraId="642A420B" w14:textId="77777777">
        <w:trPr>
          <w:trHeight w:val="300"/>
        </w:trPr>
        <w:tc>
          <w:tcPr>
            <w:tcW w:w="3885" w:type="dxa"/>
            <w:tcBorders>
              <w:top w:val="single" w:sz="6" w:space="0" w:color="auto"/>
              <w:left w:val="single" w:sz="6" w:space="0" w:color="auto"/>
              <w:bottom w:val="single" w:sz="6" w:space="0" w:color="auto"/>
              <w:right w:val="single" w:sz="6" w:space="0" w:color="auto"/>
            </w:tcBorders>
            <w:tcMar>
              <w:left w:w="105" w:type="dxa"/>
              <w:right w:w="105" w:type="dxa"/>
            </w:tcMar>
          </w:tcPr>
          <w:p w14:paraId="0E0917CF" w14:textId="77777777" w:rsidR="005C4FAD" w:rsidRPr="3A5FC954" w:rsidRDefault="005C4FAD">
            <w:pPr>
              <w:rPr>
                <w:rFonts w:ascii="Arial" w:eastAsia="Arial" w:hAnsi="Arial" w:cs="Arial"/>
                <w:sz w:val="22"/>
                <w:szCs w:val="22"/>
              </w:rPr>
            </w:pPr>
            <w:r>
              <w:rPr>
                <w:rFonts w:ascii="Arial" w:eastAsia="Arial" w:hAnsi="Arial" w:cs="Arial"/>
                <w:sz w:val="22"/>
                <w:szCs w:val="22"/>
              </w:rPr>
              <w:t>4. Sharing knowledge generated through the project with a wider audience including public</w:t>
            </w:r>
          </w:p>
        </w:tc>
        <w:tc>
          <w:tcPr>
            <w:tcW w:w="2235" w:type="dxa"/>
            <w:tcBorders>
              <w:top w:val="single" w:sz="6" w:space="0" w:color="auto"/>
              <w:left w:val="single" w:sz="6" w:space="0" w:color="auto"/>
              <w:bottom w:val="single" w:sz="6" w:space="0" w:color="auto"/>
              <w:right w:val="single" w:sz="6" w:space="0" w:color="auto"/>
            </w:tcBorders>
            <w:tcMar>
              <w:left w:w="105" w:type="dxa"/>
              <w:right w:w="105" w:type="dxa"/>
            </w:tcMar>
          </w:tcPr>
          <w:p w14:paraId="0DE30A89" w14:textId="77777777" w:rsidR="005C4FAD" w:rsidRPr="3A5FC954" w:rsidRDefault="005C4FAD">
            <w:pPr>
              <w:rPr>
                <w:rFonts w:ascii="Arial" w:eastAsia="Arial" w:hAnsi="Arial" w:cs="Arial"/>
                <w:sz w:val="22"/>
                <w:szCs w:val="22"/>
              </w:rPr>
            </w:pPr>
            <w:r>
              <w:rPr>
                <w:rFonts w:ascii="Arial" w:eastAsia="Arial" w:hAnsi="Arial" w:cs="Arial"/>
                <w:sz w:val="22"/>
                <w:szCs w:val="22"/>
              </w:rPr>
              <w:t>Following the publication of interim and final reports</w:t>
            </w:r>
          </w:p>
        </w:tc>
        <w:tc>
          <w:tcPr>
            <w:tcW w:w="3345" w:type="dxa"/>
            <w:tcBorders>
              <w:top w:val="single" w:sz="6" w:space="0" w:color="auto"/>
              <w:left w:val="single" w:sz="6" w:space="0" w:color="auto"/>
              <w:bottom w:val="single" w:sz="6" w:space="0" w:color="auto"/>
              <w:right w:val="single" w:sz="6" w:space="0" w:color="auto"/>
            </w:tcBorders>
            <w:tcMar>
              <w:left w:w="105" w:type="dxa"/>
              <w:right w:w="105" w:type="dxa"/>
            </w:tcMar>
          </w:tcPr>
          <w:p w14:paraId="5A17F54C" w14:textId="77777777" w:rsidR="005C4FAD" w:rsidRPr="3A5FC954" w:rsidRDefault="005C4FAD">
            <w:pPr>
              <w:rPr>
                <w:rFonts w:ascii="Arial" w:eastAsia="Arial" w:hAnsi="Arial" w:cs="Arial"/>
                <w:sz w:val="22"/>
                <w:szCs w:val="22"/>
              </w:rPr>
            </w:pPr>
            <w:r>
              <w:rPr>
                <w:rFonts w:ascii="Arial" w:eastAsia="Arial" w:hAnsi="Arial" w:cs="Arial"/>
                <w:sz w:val="22"/>
                <w:szCs w:val="22"/>
              </w:rPr>
              <w:t>Rate of attendance at the events / uptake of the knowledge products and feedback from users</w:t>
            </w:r>
          </w:p>
        </w:tc>
      </w:tr>
    </w:tbl>
    <w:p w14:paraId="44348D3E" w14:textId="77777777" w:rsidR="005C4FAD" w:rsidRDefault="005C4FAD" w:rsidP="005C4FAD">
      <w:pPr>
        <w:spacing w:after="120" w:line="240" w:lineRule="auto"/>
        <w:jc w:val="both"/>
        <w:rPr>
          <w:rFonts w:ascii="Arial" w:eastAsia="Arial" w:hAnsi="Arial" w:cs="Arial"/>
        </w:rPr>
      </w:pPr>
    </w:p>
    <w:p w14:paraId="2DC62A60" w14:textId="77777777" w:rsidR="005C4FAD" w:rsidRDefault="005C4FAD" w:rsidP="00F02DE9">
      <w:pPr>
        <w:spacing w:after="0" w:line="240" w:lineRule="auto"/>
        <w:contextualSpacing/>
        <w:rPr>
          <w:rFonts w:ascii="Arial" w:hAnsi="Arial" w:cs="Arial"/>
          <w:sz w:val="24"/>
          <w:szCs w:val="20"/>
        </w:rPr>
      </w:pPr>
    </w:p>
    <w:p w14:paraId="3656B9AB" w14:textId="77777777" w:rsidR="00825248" w:rsidRDefault="00D4132A" w:rsidP="00F02DE9">
      <w:pPr>
        <w:tabs>
          <w:tab w:val="left" w:pos="984"/>
        </w:tabs>
        <w:spacing w:after="0" w:line="240" w:lineRule="auto"/>
        <w:contextualSpacing/>
        <w:rPr>
          <w:rFonts w:ascii="Arial" w:hAnsi="Arial" w:cs="Arial"/>
          <w:sz w:val="24"/>
          <w:szCs w:val="20"/>
        </w:rPr>
      </w:pPr>
      <w:r>
        <w:rPr>
          <w:rFonts w:ascii="Arial" w:hAnsi="Arial" w:cs="Arial"/>
          <w:sz w:val="24"/>
          <w:szCs w:val="20"/>
        </w:rPr>
        <w:tab/>
      </w:r>
    </w:p>
    <w:p w14:paraId="45FB0818" w14:textId="77777777" w:rsidR="00D4132A" w:rsidRDefault="00D4132A" w:rsidP="00F02DE9">
      <w:pPr>
        <w:tabs>
          <w:tab w:val="left" w:pos="984"/>
        </w:tabs>
        <w:spacing w:after="0" w:line="240" w:lineRule="auto"/>
        <w:contextualSpacing/>
        <w:rPr>
          <w:rFonts w:ascii="Arial" w:hAnsi="Arial" w:cs="Arial"/>
          <w:sz w:val="24"/>
          <w:szCs w:val="20"/>
        </w:rPr>
      </w:pPr>
    </w:p>
    <w:p w14:paraId="049F31CB" w14:textId="77777777" w:rsidR="00D4132A" w:rsidRDefault="00D4132A" w:rsidP="00F02DE9">
      <w:pPr>
        <w:tabs>
          <w:tab w:val="left" w:pos="984"/>
        </w:tabs>
        <w:spacing w:after="0" w:line="240" w:lineRule="auto"/>
        <w:contextualSpacing/>
        <w:rPr>
          <w:rFonts w:ascii="Arial" w:hAnsi="Arial" w:cs="Arial"/>
          <w:sz w:val="24"/>
          <w:szCs w:val="20"/>
        </w:rPr>
      </w:pPr>
    </w:p>
    <w:p w14:paraId="53128261" w14:textId="77777777" w:rsidR="00D4132A" w:rsidRDefault="00D4132A" w:rsidP="00F02DE9">
      <w:pPr>
        <w:tabs>
          <w:tab w:val="left" w:pos="984"/>
        </w:tabs>
        <w:spacing w:after="0" w:line="240" w:lineRule="auto"/>
        <w:contextualSpacing/>
        <w:rPr>
          <w:rFonts w:ascii="Arial" w:hAnsi="Arial" w:cs="Arial"/>
          <w:sz w:val="24"/>
          <w:szCs w:val="20"/>
        </w:rPr>
      </w:pPr>
    </w:p>
    <w:p w14:paraId="62486C05" w14:textId="77777777" w:rsidR="00D4132A" w:rsidRDefault="00D4132A" w:rsidP="00F02DE9">
      <w:pPr>
        <w:tabs>
          <w:tab w:val="left" w:pos="984"/>
        </w:tabs>
        <w:spacing w:after="0" w:line="240" w:lineRule="auto"/>
        <w:contextualSpacing/>
        <w:rPr>
          <w:rFonts w:ascii="Arial" w:hAnsi="Arial" w:cs="Arial"/>
          <w:sz w:val="24"/>
          <w:szCs w:val="20"/>
        </w:rPr>
      </w:pPr>
    </w:p>
    <w:p w14:paraId="4101652C" w14:textId="77777777" w:rsidR="00D4132A" w:rsidRPr="00D4132A" w:rsidRDefault="00D4132A" w:rsidP="00F02DE9">
      <w:pPr>
        <w:tabs>
          <w:tab w:val="left" w:pos="984"/>
        </w:tabs>
        <w:spacing w:after="0" w:line="240" w:lineRule="auto"/>
        <w:contextualSpacing/>
        <w:rPr>
          <w:rFonts w:ascii="Arial" w:hAnsi="Arial" w:cs="Arial"/>
          <w:sz w:val="24"/>
          <w:szCs w:val="20"/>
        </w:rPr>
      </w:pPr>
    </w:p>
    <w:sectPr w:rsidR="00D4132A" w:rsidRPr="00D4132A" w:rsidSect="005C4FAD">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0F86A" w14:textId="77777777" w:rsidR="00CE6F40" w:rsidRDefault="00CE6F40">
      <w:pPr>
        <w:spacing w:after="0" w:line="240" w:lineRule="auto"/>
      </w:pPr>
      <w:r>
        <w:separator/>
      </w:r>
    </w:p>
  </w:endnote>
  <w:endnote w:type="continuationSeparator" w:id="0">
    <w:p w14:paraId="14B86B2D" w14:textId="77777777" w:rsidR="00CE6F40" w:rsidRDefault="00CE6F40">
      <w:pPr>
        <w:spacing w:after="0" w:line="240" w:lineRule="auto"/>
      </w:pPr>
      <w:r>
        <w:continuationSeparator/>
      </w:r>
    </w:p>
  </w:endnote>
  <w:endnote w:type="continuationNotice" w:id="1">
    <w:p w14:paraId="1418687A" w14:textId="77777777" w:rsidR="00CE6F40" w:rsidRDefault="00CE6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Segoe UI Light">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9056E" w14:textId="77777777" w:rsidR="005D7AD1" w:rsidRPr="005C4FAD" w:rsidRDefault="005D7AD1" w:rsidP="005D7AD1">
    <w:pPr>
      <w:tabs>
        <w:tab w:val="center" w:pos="4513"/>
        <w:tab w:val="right" w:pos="9026"/>
      </w:tabs>
      <w:spacing w:after="0"/>
      <w:rPr>
        <w:color w:val="A6A6A6"/>
      </w:rPr>
    </w:pPr>
  </w:p>
  <w:p w14:paraId="23F18CC1" w14:textId="77777777" w:rsidR="00BF178B" w:rsidRDefault="00BF178B" w:rsidP="00BF178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8309432" w14:textId="77777777" w:rsidR="005D7AD1" w:rsidRPr="00BF178B" w:rsidRDefault="00D4132A" w:rsidP="005D7AD1">
    <w:pPr>
      <w:pStyle w:val="Footer"/>
      <w:rPr>
        <w:rFonts w:ascii="Arial" w:hAnsi="Arial" w:cs="Arial"/>
        <w:sz w:val="20"/>
      </w:rPr>
    </w:pPr>
    <w:r w:rsidRPr="00BF178B">
      <w:rPr>
        <w:rFonts w:ascii="Arial" w:hAnsi="Arial" w:cs="Arial"/>
        <w:sz w:val="20"/>
      </w:rPr>
      <w:t>Project Version: v1.0</w:t>
    </w:r>
    <w:r w:rsidRPr="00BF178B">
      <w:rPr>
        <w:rFonts w:ascii="Arial" w:hAnsi="Arial" w:cs="Arial"/>
        <w:sz w:val="20"/>
      </w:rPr>
      <w:tab/>
    </w:r>
    <w:r w:rsidR="001F18F8" w:rsidRPr="00BF178B">
      <w:rPr>
        <w:rFonts w:ascii="Arial" w:hAnsi="Arial" w:cs="Arial"/>
        <w:sz w:val="20"/>
      </w:rPr>
      <w:tab/>
    </w:r>
    <w:r w:rsidR="005D7AD1" w:rsidRPr="00BF178B">
      <w:rPr>
        <w:rFonts w:ascii="Arial" w:hAnsi="Arial" w:cs="Arial"/>
        <w:sz w:val="20"/>
      </w:rPr>
      <w:fldChar w:fldCharType="begin"/>
    </w:r>
    <w:r w:rsidR="005D7AD1" w:rsidRPr="00BF178B">
      <w:rPr>
        <w:rFonts w:ascii="Arial" w:hAnsi="Arial" w:cs="Arial"/>
        <w:sz w:val="20"/>
      </w:rPr>
      <w:instrText xml:space="preserve"> PAGE   \* MERGEFORMAT </w:instrText>
    </w:r>
    <w:r w:rsidR="005D7AD1" w:rsidRPr="00BF178B">
      <w:rPr>
        <w:rFonts w:ascii="Arial" w:hAnsi="Arial" w:cs="Arial"/>
        <w:sz w:val="20"/>
      </w:rPr>
      <w:fldChar w:fldCharType="separate"/>
    </w:r>
    <w:r w:rsidR="00BF178B">
      <w:rPr>
        <w:rFonts w:ascii="Arial" w:hAnsi="Arial" w:cs="Arial"/>
        <w:noProof/>
        <w:sz w:val="20"/>
      </w:rPr>
      <w:t>1</w:t>
    </w:r>
    <w:r w:rsidR="005D7AD1" w:rsidRPr="00BF178B">
      <w:rPr>
        <w:rFonts w:ascii="Arial" w:hAnsi="Arial" w:cs="Arial"/>
        <w:noProof/>
        <w:sz w:val="20"/>
      </w:rPr>
      <w:fldChar w:fldCharType="end"/>
    </w:r>
  </w:p>
  <w:p w14:paraId="28263989" w14:textId="77777777" w:rsidR="00825248" w:rsidRPr="00BF178B" w:rsidRDefault="00F65D49" w:rsidP="005D7AD1">
    <w:pPr>
      <w:tabs>
        <w:tab w:val="left" w:pos="2731"/>
      </w:tabs>
      <w:overflowPunct w:val="0"/>
      <w:autoSpaceDE w:val="0"/>
      <w:autoSpaceDN w:val="0"/>
      <w:adjustRightInd w:val="0"/>
      <w:spacing w:after="0" w:line="240" w:lineRule="auto"/>
      <w:jc w:val="both"/>
      <w:rPr>
        <w:rFonts w:ascii="Arial" w:eastAsia="Times New Roman" w:hAnsi="Arial" w:cs="Arial"/>
        <w:sz w:val="20"/>
      </w:rPr>
    </w:pPr>
    <w:r w:rsidRPr="00BF178B">
      <w:rPr>
        <w:rFonts w:ascii="Arial" w:hAnsi="Arial" w:cs="Arial"/>
        <w:sz w:val="20"/>
      </w:rPr>
      <w:t>Model Version</w:t>
    </w:r>
    <w:r w:rsidR="001F18F8" w:rsidRPr="00BF178B">
      <w:rPr>
        <w:rFonts w:ascii="Arial" w:hAnsi="Arial" w:cs="Arial"/>
        <w:sz w:val="20"/>
      </w:rPr>
      <w:t>: v</w:t>
    </w:r>
    <w:r w:rsidR="00D4132A" w:rsidRPr="00BF178B">
      <w:rPr>
        <w:rFonts w:ascii="Arial" w:hAnsi="Arial" w:cs="Arial"/>
        <w:sz w:val="20"/>
      </w:rPr>
      <w:t>1</w:t>
    </w:r>
    <w:r w:rsidR="001F18F8" w:rsidRPr="00BF178B">
      <w:rPr>
        <w:rFonts w:ascii="Arial" w:hAnsi="Arial" w:cs="Arial"/>
        <w:sz w:val="20"/>
      </w:rPr>
      <w:t>.0</w:t>
    </w:r>
  </w:p>
  <w:p w14:paraId="6BBEB7BB" w14:textId="77777777" w:rsidR="005C4FAD" w:rsidRDefault="005C4F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2985A" w14:textId="77777777" w:rsidR="00CE6F40" w:rsidRDefault="00CE6F40">
      <w:pPr>
        <w:spacing w:after="0" w:line="240" w:lineRule="auto"/>
      </w:pPr>
      <w:r>
        <w:separator/>
      </w:r>
    </w:p>
  </w:footnote>
  <w:footnote w:type="continuationSeparator" w:id="0">
    <w:p w14:paraId="65E80625" w14:textId="77777777" w:rsidR="00CE6F40" w:rsidRDefault="00CE6F40">
      <w:pPr>
        <w:spacing w:after="0" w:line="240" w:lineRule="auto"/>
      </w:pPr>
      <w:r>
        <w:continuationSeparator/>
      </w:r>
    </w:p>
  </w:footnote>
  <w:footnote w:type="continuationNotice" w:id="1">
    <w:p w14:paraId="77D48681" w14:textId="77777777" w:rsidR="00CE6F40" w:rsidRDefault="00CE6F40">
      <w:pPr>
        <w:spacing w:after="0" w:line="240" w:lineRule="auto"/>
      </w:pPr>
    </w:p>
  </w:footnote>
  <w:footnote w:id="2">
    <w:p w14:paraId="7037D6BC"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w:t>
      </w:r>
      <w:hyperlink r:id="rId1" w:anchor="ministerial-foreword" w:history="1">
        <w:r w:rsidRPr="00524CE8">
          <w:rPr>
            <w:rStyle w:val="Hyperlink"/>
          </w:rPr>
          <w:t>https://www.gov.uk/government/publications/ai-safety-institute-overview/introducing-the-ai-safety-institute#ministerial-foreword</w:t>
        </w:r>
      </w:hyperlink>
      <w:r>
        <w:rPr>
          <w:rFonts w:ascii="Arial" w:hAnsi="Arial" w:cs="Arial"/>
          <w:sz w:val="18"/>
          <w:szCs w:val="18"/>
        </w:rPr>
        <w:t xml:space="preserve"> </w:t>
      </w:r>
    </w:p>
  </w:footnote>
  <w:footnote w:id="3">
    <w:p w14:paraId="2935D61F"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Gov.uk (2024) “Global leaders agree to launch first international network of AI Safety Institutes to boost cooperation of AI”, available at: </w:t>
      </w:r>
      <w:hyperlink r:id="rId2" w:history="1">
        <w:r w:rsidRPr="00524CE8">
          <w:rPr>
            <w:rStyle w:val="Hyperlink"/>
          </w:rPr>
          <w:t>https://www.gov.uk/government/news/global-leaders-agree-to-launch-first-international-network-of-ai-safety-institutes-to-boost-understanding-of-ai</w:t>
        </w:r>
      </w:hyperlink>
      <w:r>
        <w:rPr>
          <w:rFonts w:ascii="Arial" w:hAnsi="Arial" w:cs="Arial"/>
          <w:sz w:val="18"/>
          <w:szCs w:val="18"/>
        </w:rPr>
        <w:t xml:space="preserve"> </w:t>
      </w:r>
    </w:p>
  </w:footnote>
  <w:footnote w:id="4">
    <w:p w14:paraId="1164256D"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Gov.uk (2024) “Global leaders agree to launch first international network of AI Safety Institutes to boost cooperation of AI”, available at: </w:t>
      </w:r>
      <w:hyperlink r:id="rId3" w:history="1">
        <w:r w:rsidRPr="00524CE8">
          <w:rPr>
            <w:rStyle w:val="Hyperlink"/>
          </w:rPr>
          <w:t>https://www.gov.uk/government/news/global-leaders-agree-to-launch-first-international-network-of-ai-safety-institutes-to-boost-understanding-of-ai</w:t>
        </w:r>
      </w:hyperlink>
      <w:r>
        <w:t xml:space="preserve"> </w:t>
      </w:r>
    </w:p>
  </w:footnote>
  <w:footnote w:id="5">
    <w:p w14:paraId="49FC88FC"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US AISI (2024) “The United States Artificial Intelligence Safety Institute: Vision, Mission and Strategic Goals: </w:t>
      </w:r>
      <w:hyperlink r:id="rId4" w:history="1">
        <w:r w:rsidRPr="00B66B3D">
          <w:rPr>
            <w:rStyle w:val="Hyperlink"/>
            <w:rFonts w:ascii="Arial" w:hAnsi="Arial" w:cs="Arial"/>
            <w:sz w:val="18"/>
            <w:szCs w:val="18"/>
          </w:rPr>
          <w:t>https://www.nist.gov/system/files/documents/2024/05/21/AISI-vision-21May2024.pdf</w:t>
        </w:r>
      </w:hyperlink>
      <w:r>
        <w:rPr>
          <w:rFonts w:ascii="Arial" w:hAnsi="Arial" w:cs="Arial"/>
          <w:sz w:val="18"/>
          <w:szCs w:val="18"/>
        </w:rPr>
        <w:t xml:space="preserve"> </w:t>
      </w:r>
    </w:p>
  </w:footnote>
  <w:footnote w:id="6">
    <w:p w14:paraId="782002D6"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Gov.uk (2024) “Government's trailblazing Institute for AI Safety to open doors in San Francisco”, available at: </w:t>
      </w:r>
      <w:hyperlink r:id="rId5" w:anchor=":~:text=By%20expanding%20its%20foothold%20in,safety%20policy%20across%20the%20globe" w:history="1">
        <w:r w:rsidRPr="00524CE8">
          <w:rPr>
            <w:rStyle w:val="Hyperlink"/>
          </w:rPr>
          <w:t>https://www.gov.uk/government/news/governments-trailblazing-institute-for-ai-safety-to-open-doors-in-san-francisco#:~:text=By%20expanding%20its%20foothold%20in,safety%20policy%20across%20the%20globe</w:t>
        </w:r>
      </w:hyperlink>
      <w:r>
        <w:rPr>
          <w:rFonts w:ascii="Arial" w:hAnsi="Arial" w:cs="Arial"/>
          <w:sz w:val="18"/>
          <w:szCs w:val="18"/>
        </w:rPr>
        <w:t xml:space="preserve"> </w:t>
      </w:r>
      <w:r w:rsidRPr="00E6331F">
        <w:rPr>
          <w:rFonts w:ascii="Arial" w:hAnsi="Arial" w:cs="Arial"/>
          <w:sz w:val="18"/>
          <w:szCs w:val="18"/>
        </w:rPr>
        <w:t xml:space="preserve"> </w:t>
      </w:r>
    </w:p>
  </w:footnote>
  <w:footnote w:id="7">
    <w:p w14:paraId="7F19BD08"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The White House (2023) “Executive Order on the Safe, Secure, and Trustworthy Development and Use of Artificial Intelligence” </w:t>
      </w:r>
      <w:hyperlink r:id="rId6" w:history="1">
        <w:r w:rsidRPr="00524CE8">
          <w:rPr>
            <w:rStyle w:val="Hyperlink"/>
          </w:rPr>
          <w:t>https://www.whitehouse.gov/briefing-room/presidential-actions/2023/10/30/executive-order-on-the-safe-secure-and-trustworthy-development-and-use-of-artificial-intelligence/</w:t>
        </w:r>
      </w:hyperlink>
      <w:r>
        <w:rPr>
          <w:rFonts w:ascii="Arial" w:hAnsi="Arial" w:cs="Arial"/>
          <w:sz w:val="18"/>
          <w:szCs w:val="18"/>
        </w:rPr>
        <w:t xml:space="preserve"> </w:t>
      </w:r>
    </w:p>
  </w:footnote>
  <w:footnote w:id="8">
    <w:p w14:paraId="1975CE53"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NIST (2024) “US Artificial Intelligence Safety Institute”, available at: </w:t>
      </w:r>
      <w:hyperlink r:id="rId7" w:history="1">
        <w:r w:rsidRPr="00524CE8">
          <w:rPr>
            <w:rStyle w:val="Hyperlink"/>
          </w:rPr>
          <w:t>https://www.nist.gov/aisi</w:t>
        </w:r>
      </w:hyperlink>
      <w:r>
        <w:rPr>
          <w:rFonts w:ascii="Arial" w:hAnsi="Arial" w:cs="Arial"/>
          <w:sz w:val="18"/>
          <w:szCs w:val="18"/>
        </w:rPr>
        <w:t xml:space="preserve"> </w:t>
      </w:r>
    </w:p>
  </w:footnote>
  <w:footnote w:id="9">
    <w:p w14:paraId="577907B7"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European Parliament (2024) “Artificial Intelligence Act: MEPs adopt landmark law: </w:t>
      </w:r>
      <w:hyperlink r:id="rId8" w:anchor=":~:text=Banned%20applications&amp;text=Emotion%20recognition%20in%20the%20workplace,vulnerabilities%20will%20also%20be%20forbidden" w:history="1">
        <w:r w:rsidRPr="00524CE8">
          <w:rPr>
            <w:rStyle w:val="Hyperlink"/>
          </w:rPr>
          <w:t>https://www.europarl.europa.eu/news/en/press-room/20240308IPR19015/artificial-intelligence-act-meps-adopt-landmark-law#:~:text=Banned%20applications&amp;text=Emotion%20recognition%20in%20the%20workplace,vulnerabilities%20will%20also%20be%20forbidden</w:t>
        </w:r>
      </w:hyperlink>
      <w:r>
        <w:rPr>
          <w:rFonts w:ascii="Arial" w:hAnsi="Arial" w:cs="Arial"/>
          <w:sz w:val="18"/>
          <w:szCs w:val="18"/>
        </w:rPr>
        <w:t xml:space="preserve"> </w:t>
      </w:r>
    </w:p>
  </w:footnote>
  <w:footnote w:id="10">
    <w:p w14:paraId="5929CED8" w14:textId="77777777" w:rsidR="005C4FAD" w:rsidRPr="00E6331F" w:rsidRDefault="005C4FAD" w:rsidP="005C4FAD">
      <w:pPr>
        <w:pStyle w:val="FootnoteText1"/>
        <w:rPr>
          <w:rFonts w:ascii="Arial" w:hAnsi="Arial" w:cs="Arial"/>
          <w:sz w:val="18"/>
          <w:szCs w:val="18"/>
        </w:rPr>
      </w:pPr>
      <w:r w:rsidRPr="00E6331F">
        <w:rPr>
          <w:rStyle w:val="FootnoteReference"/>
          <w:rFonts w:ascii="Arial" w:hAnsi="Arial" w:cs="Arial"/>
          <w:sz w:val="18"/>
          <w:szCs w:val="18"/>
        </w:rPr>
        <w:footnoteRef/>
      </w:r>
      <w:r w:rsidRPr="00E6331F">
        <w:rPr>
          <w:rFonts w:ascii="Arial" w:hAnsi="Arial" w:cs="Arial"/>
          <w:sz w:val="18"/>
          <w:szCs w:val="18"/>
        </w:rPr>
        <w:t xml:space="preserve"> Euractiv (2024) “Commission’s EG for Technology restructures to realise AI Office, available at: </w:t>
      </w:r>
      <w:hyperlink r:id="rId9" w:history="1">
        <w:r w:rsidRPr="00524CE8">
          <w:rPr>
            <w:rStyle w:val="Hyperlink"/>
          </w:rPr>
          <w:t>https://www.euractiv.com/section/artificial-intelligence/news/commissions-dg-for-technology-restructures-to-realise-ai-office/</w:t>
        </w:r>
      </w:hyperlink>
      <w:r>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35A3E" w14:textId="77777777" w:rsidR="005C4FAD" w:rsidRPr="00D54379" w:rsidRDefault="005C4FAD">
    <w:pPr>
      <w:tabs>
        <w:tab w:val="right" w:pos="10205"/>
      </w:tabs>
      <w:rPr>
        <w:rFonts w:ascii="Segoe UI Light" w:hAnsi="Segoe UI Light" w:cs="Segoe UI Light"/>
        <w:sz w:val="24"/>
        <w:szCs w:val="24"/>
      </w:rPr>
    </w:pPr>
    <w:r w:rsidRPr="00920893">
      <w:rPr>
        <w:sz w:val="24"/>
        <w:szCs w:val="24"/>
      </w:rPr>
      <w:t>Evaluation Scoping Report and Initial Evaluation of the AI Safety Institute</w:t>
    </w:r>
    <w:r>
      <w:rPr>
        <w:sz w:val="24"/>
        <w:szCs w:val="24"/>
      </w:rPr>
      <w:t>: Conflict of Interest Statement (Q1)</w:t>
    </w:r>
    <w:r w:rsidRPr="00920893">
      <w:rPr>
        <w:sz w:val="24"/>
        <w:szCs w:val="24"/>
      </w:rPr>
      <w:tab/>
    </w:r>
    <w:r w:rsidRPr="00920893">
      <w:rPr>
        <w:rFonts w:ascii="Arial Black" w:hAnsi="Arial Black"/>
        <w:sz w:val="24"/>
        <w:szCs w:val="24"/>
      </w:rPr>
      <w:fldChar w:fldCharType="begin"/>
    </w:r>
    <w:r w:rsidRPr="00920893">
      <w:rPr>
        <w:rFonts w:ascii="Arial Black" w:hAnsi="Arial Black"/>
        <w:sz w:val="24"/>
        <w:szCs w:val="24"/>
      </w:rPr>
      <w:instrText xml:space="preserve"> PAGE   \* MERGEFORMAT </w:instrText>
    </w:r>
    <w:r w:rsidRPr="00920893">
      <w:rPr>
        <w:rFonts w:ascii="Arial Black" w:hAnsi="Arial Black"/>
        <w:sz w:val="24"/>
        <w:szCs w:val="24"/>
      </w:rPr>
      <w:fldChar w:fldCharType="separate"/>
    </w:r>
    <w:r>
      <w:rPr>
        <w:rFonts w:ascii="Arial Black" w:hAnsi="Arial Black"/>
        <w:sz w:val="24"/>
        <w:szCs w:val="24"/>
      </w:rPr>
      <w:t>1</w:t>
    </w:r>
    <w:r w:rsidRPr="00920893">
      <w:rPr>
        <w:rFonts w:ascii="Arial Black" w:hAnsi="Arial Black"/>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07535" w14:textId="77777777" w:rsidR="00825248" w:rsidRPr="00F65D49" w:rsidRDefault="00774501">
    <w:pPr>
      <w:tabs>
        <w:tab w:val="center" w:pos="4513"/>
        <w:tab w:val="right" w:pos="9026"/>
      </w:tabs>
      <w:spacing w:after="0"/>
      <w:rPr>
        <w:rFonts w:ascii="Arial" w:hAnsi="Arial" w:cs="Arial"/>
        <w:sz w:val="20"/>
      </w:rPr>
    </w:pPr>
    <w:r>
      <w:rPr>
        <w:rFonts w:ascii="Arial" w:hAnsi="Arial" w:cs="Arial"/>
        <w:b/>
        <w:sz w:val="20"/>
      </w:rPr>
      <w:t>Order</w:t>
    </w:r>
    <w:r w:rsidR="00F04E1F" w:rsidRPr="00F65D49">
      <w:rPr>
        <w:rFonts w:ascii="Arial" w:hAnsi="Arial" w:cs="Arial"/>
        <w:b/>
        <w:sz w:val="20"/>
      </w:rPr>
      <w:t xml:space="preserve"> Schedule </w:t>
    </w:r>
    <w:r w:rsidR="00357675" w:rsidRPr="00F65D49">
      <w:rPr>
        <w:rFonts w:ascii="Arial" w:hAnsi="Arial" w:cs="Arial"/>
        <w:b/>
        <w:sz w:val="20"/>
      </w:rPr>
      <w:t>4</w:t>
    </w:r>
    <w:r w:rsidR="0011196C" w:rsidRPr="00F65D49">
      <w:rPr>
        <w:rFonts w:ascii="Arial" w:hAnsi="Arial" w:cs="Arial"/>
        <w:b/>
        <w:sz w:val="20"/>
      </w:rPr>
      <w:t xml:space="preserve"> (</w:t>
    </w:r>
    <w:r>
      <w:rPr>
        <w:rFonts w:ascii="Arial" w:hAnsi="Arial" w:cs="Arial"/>
        <w:b/>
        <w:sz w:val="20"/>
      </w:rPr>
      <w:t>Order</w:t>
    </w:r>
    <w:r w:rsidR="0011196C" w:rsidRPr="00F65D49">
      <w:rPr>
        <w:rFonts w:ascii="Arial" w:hAnsi="Arial" w:cs="Arial"/>
        <w:b/>
        <w:sz w:val="20"/>
      </w:rPr>
      <w:t xml:space="preserve"> Tender)</w:t>
    </w:r>
  </w:p>
  <w:p w14:paraId="3A6C0D4B" w14:textId="77777777" w:rsidR="001F18F8" w:rsidRPr="00F65D49" w:rsidRDefault="00774501">
    <w:pPr>
      <w:tabs>
        <w:tab w:val="center" w:pos="4513"/>
        <w:tab w:val="right" w:pos="9026"/>
      </w:tabs>
      <w:spacing w:after="0"/>
      <w:rPr>
        <w:rFonts w:ascii="Arial" w:hAnsi="Arial" w:cs="Arial"/>
        <w:sz w:val="20"/>
      </w:rPr>
    </w:pPr>
    <w:r>
      <w:rPr>
        <w:rFonts w:ascii="Arial" w:hAnsi="Arial" w:cs="Arial"/>
        <w:sz w:val="20"/>
      </w:rPr>
      <w:t>Order</w:t>
    </w:r>
    <w:r w:rsidR="001F18F8" w:rsidRPr="00F65D49">
      <w:rPr>
        <w:rFonts w:ascii="Arial" w:hAnsi="Arial" w:cs="Arial"/>
        <w:sz w:val="20"/>
      </w:rPr>
      <w:t xml:space="preserve"> Ref:</w:t>
    </w:r>
  </w:p>
  <w:p w14:paraId="6E19CF16" w14:textId="77777777" w:rsidR="00825248" w:rsidRPr="00F65D49" w:rsidRDefault="00F04E1F">
    <w:pPr>
      <w:tabs>
        <w:tab w:val="center" w:pos="4513"/>
        <w:tab w:val="right" w:pos="9026"/>
      </w:tabs>
      <w:spacing w:after="0"/>
      <w:rPr>
        <w:rFonts w:ascii="Arial" w:hAnsi="Arial" w:cs="Arial"/>
        <w:sz w:val="20"/>
      </w:rPr>
    </w:pPr>
    <w:r w:rsidRPr="00F65D49">
      <w:rPr>
        <w:rFonts w:ascii="Arial" w:hAnsi="Arial" w:cs="Arial"/>
        <w:sz w:val="20"/>
      </w:rPr>
      <w:t>Crown Copyright</w:t>
    </w:r>
    <w:r w:rsidRPr="00F65D49">
      <w:rPr>
        <w:rFonts w:ascii="Arial" w:hAnsi="Arial" w:cs="Arial"/>
        <w:sz w:val="14"/>
        <w:szCs w:val="16"/>
        <w:lang w:eastAsia="en-GB"/>
      </w:rPr>
      <w:t xml:space="preserve"> </w:t>
    </w:r>
    <w:r w:rsidR="00BF178B">
      <w:rPr>
        <w:rFonts w:ascii="Arial" w:hAnsi="Arial" w:cs="Arial"/>
        <w:sz w:val="20"/>
        <w:szCs w:val="16"/>
        <w:lang w:eastAsia="en-GB"/>
      </w:rPr>
      <w:t>2021</w:t>
    </w:r>
  </w:p>
  <w:p w14:paraId="1299C43A" w14:textId="77777777" w:rsidR="00825248" w:rsidRDefault="00825248">
    <w:pPr>
      <w:pStyle w:val="Header"/>
    </w:pPr>
  </w:p>
  <w:p w14:paraId="6561C7BD" w14:textId="77777777" w:rsidR="005C4FAD" w:rsidRDefault="005C4F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16A9F"/>
    <w:multiLevelType w:val="hybridMultilevel"/>
    <w:tmpl w:val="2FB46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DAE713"/>
    <w:multiLevelType w:val="hybridMultilevel"/>
    <w:tmpl w:val="543A8748"/>
    <w:lvl w:ilvl="0" w:tplc="7E84FBF4">
      <w:start w:val="1"/>
      <w:numFmt w:val="decimal"/>
      <w:lvlText w:val="%1."/>
      <w:lvlJc w:val="left"/>
      <w:pPr>
        <w:ind w:left="720" w:hanging="360"/>
      </w:pPr>
      <w:rPr>
        <w:rFonts w:ascii="Arial" w:hAnsi="Arial" w:hint="default"/>
      </w:rPr>
    </w:lvl>
    <w:lvl w:ilvl="1" w:tplc="7BB8AFC0">
      <w:start w:val="1"/>
      <w:numFmt w:val="lowerLetter"/>
      <w:lvlText w:val="%2."/>
      <w:lvlJc w:val="left"/>
      <w:pPr>
        <w:ind w:left="1440" w:hanging="360"/>
      </w:pPr>
    </w:lvl>
    <w:lvl w:ilvl="2" w:tplc="DCA41B96">
      <w:start w:val="1"/>
      <w:numFmt w:val="lowerRoman"/>
      <w:lvlText w:val="%3."/>
      <w:lvlJc w:val="right"/>
      <w:pPr>
        <w:ind w:left="2160" w:hanging="180"/>
      </w:pPr>
    </w:lvl>
    <w:lvl w:ilvl="3" w:tplc="A2E23608">
      <w:start w:val="1"/>
      <w:numFmt w:val="decimal"/>
      <w:lvlText w:val="%4."/>
      <w:lvlJc w:val="left"/>
      <w:pPr>
        <w:ind w:left="2880" w:hanging="360"/>
      </w:pPr>
    </w:lvl>
    <w:lvl w:ilvl="4" w:tplc="613CB67E">
      <w:start w:val="1"/>
      <w:numFmt w:val="lowerLetter"/>
      <w:lvlText w:val="%5."/>
      <w:lvlJc w:val="left"/>
      <w:pPr>
        <w:ind w:left="3600" w:hanging="360"/>
      </w:pPr>
    </w:lvl>
    <w:lvl w:ilvl="5" w:tplc="71820984">
      <w:start w:val="1"/>
      <w:numFmt w:val="lowerRoman"/>
      <w:lvlText w:val="%6."/>
      <w:lvlJc w:val="right"/>
      <w:pPr>
        <w:ind w:left="4320" w:hanging="180"/>
      </w:pPr>
    </w:lvl>
    <w:lvl w:ilvl="6" w:tplc="61AEB208">
      <w:start w:val="1"/>
      <w:numFmt w:val="decimal"/>
      <w:lvlText w:val="%7."/>
      <w:lvlJc w:val="left"/>
      <w:pPr>
        <w:ind w:left="5040" w:hanging="360"/>
      </w:pPr>
    </w:lvl>
    <w:lvl w:ilvl="7" w:tplc="845E7B2A">
      <w:start w:val="1"/>
      <w:numFmt w:val="lowerLetter"/>
      <w:lvlText w:val="%8."/>
      <w:lvlJc w:val="left"/>
      <w:pPr>
        <w:ind w:left="5760" w:hanging="360"/>
      </w:pPr>
    </w:lvl>
    <w:lvl w:ilvl="8" w:tplc="5E0A26E2">
      <w:start w:val="1"/>
      <w:numFmt w:val="lowerRoman"/>
      <w:lvlText w:val="%9."/>
      <w:lvlJc w:val="right"/>
      <w:pPr>
        <w:ind w:left="6480" w:hanging="180"/>
      </w:pPr>
    </w:lvl>
  </w:abstractNum>
  <w:abstractNum w:abstractNumId="2" w15:restartNumberingAfterBreak="0">
    <w:nsid w:val="40E26BBE"/>
    <w:multiLevelType w:val="hybridMultilevel"/>
    <w:tmpl w:val="6FF441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3E73943"/>
    <w:multiLevelType w:val="hybridMultilevel"/>
    <w:tmpl w:val="0FB633D4"/>
    <w:lvl w:ilvl="0" w:tplc="13B0AA24">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B72A7D"/>
    <w:multiLevelType w:val="hybridMultilevel"/>
    <w:tmpl w:val="7CCABC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9108674">
    <w:abstractNumId w:val="2"/>
  </w:num>
  <w:num w:numId="2" w16cid:durableId="1018383744">
    <w:abstractNumId w:val="3"/>
  </w:num>
  <w:num w:numId="3" w16cid:durableId="2142772385">
    <w:abstractNumId w:val="4"/>
  </w:num>
  <w:num w:numId="4" w16cid:durableId="12611464">
    <w:abstractNumId w:val="0"/>
  </w:num>
  <w:num w:numId="5" w16cid:durableId="329871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48"/>
    <w:rsid w:val="00013094"/>
    <w:rsid w:val="000226AB"/>
    <w:rsid w:val="00027D24"/>
    <w:rsid w:val="000571CA"/>
    <w:rsid w:val="00065B30"/>
    <w:rsid w:val="00070309"/>
    <w:rsid w:val="0009182E"/>
    <w:rsid w:val="00092A07"/>
    <w:rsid w:val="000B0299"/>
    <w:rsid w:val="000B77C5"/>
    <w:rsid w:val="000C5FEE"/>
    <w:rsid w:val="0011196C"/>
    <w:rsid w:val="00120932"/>
    <w:rsid w:val="0012471F"/>
    <w:rsid w:val="00182FB4"/>
    <w:rsid w:val="001F18F8"/>
    <w:rsid w:val="001F1F12"/>
    <w:rsid w:val="002153CB"/>
    <w:rsid w:val="0023006F"/>
    <w:rsid w:val="002602AC"/>
    <w:rsid w:val="00281603"/>
    <w:rsid w:val="002B634A"/>
    <w:rsid w:val="002C75B8"/>
    <w:rsid w:val="00300571"/>
    <w:rsid w:val="003149E6"/>
    <w:rsid w:val="00314EE9"/>
    <w:rsid w:val="00357675"/>
    <w:rsid w:val="0038330C"/>
    <w:rsid w:val="003A3A34"/>
    <w:rsid w:val="003A5800"/>
    <w:rsid w:val="00422F7C"/>
    <w:rsid w:val="0044026E"/>
    <w:rsid w:val="0044662B"/>
    <w:rsid w:val="004866FF"/>
    <w:rsid w:val="00530884"/>
    <w:rsid w:val="005C1E10"/>
    <w:rsid w:val="005C4FAD"/>
    <w:rsid w:val="005D6F8D"/>
    <w:rsid w:val="005D7AD1"/>
    <w:rsid w:val="005E7151"/>
    <w:rsid w:val="005F3C10"/>
    <w:rsid w:val="006748CA"/>
    <w:rsid w:val="006F6632"/>
    <w:rsid w:val="00733287"/>
    <w:rsid w:val="00761017"/>
    <w:rsid w:val="00765E3F"/>
    <w:rsid w:val="007714F3"/>
    <w:rsid w:val="00774501"/>
    <w:rsid w:val="007759AA"/>
    <w:rsid w:val="007E1A29"/>
    <w:rsid w:val="00825248"/>
    <w:rsid w:val="00870175"/>
    <w:rsid w:val="00872416"/>
    <w:rsid w:val="00884A2A"/>
    <w:rsid w:val="008A10C1"/>
    <w:rsid w:val="008A5DD0"/>
    <w:rsid w:val="008B21A7"/>
    <w:rsid w:val="008F71B2"/>
    <w:rsid w:val="009163CF"/>
    <w:rsid w:val="00985F6D"/>
    <w:rsid w:val="009C276B"/>
    <w:rsid w:val="009C5F61"/>
    <w:rsid w:val="00A97CA7"/>
    <w:rsid w:val="00B320E1"/>
    <w:rsid w:val="00B4719D"/>
    <w:rsid w:val="00B828A6"/>
    <w:rsid w:val="00BB7851"/>
    <w:rsid w:val="00BD51C6"/>
    <w:rsid w:val="00BF178B"/>
    <w:rsid w:val="00C2251A"/>
    <w:rsid w:val="00C34468"/>
    <w:rsid w:val="00C51212"/>
    <w:rsid w:val="00C622CF"/>
    <w:rsid w:val="00C94749"/>
    <w:rsid w:val="00CB76B8"/>
    <w:rsid w:val="00CD7507"/>
    <w:rsid w:val="00CE6F40"/>
    <w:rsid w:val="00D1327E"/>
    <w:rsid w:val="00D4132A"/>
    <w:rsid w:val="00D56948"/>
    <w:rsid w:val="00DD60E6"/>
    <w:rsid w:val="00DE004E"/>
    <w:rsid w:val="00DE3F31"/>
    <w:rsid w:val="00E15009"/>
    <w:rsid w:val="00E157ED"/>
    <w:rsid w:val="00E524D4"/>
    <w:rsid w:val="00E81CD6"/>
    <w:rsid w:val="00EF31DA"/>
    <w:rsid w:val="00EF5F0B"/>
    <w:rsid w:val="00F02DE9"/>
    <w:rsid w:val="00F04E1F"/>
    <w:rsid w:val="00F65D49"/>
    <w:rsid w:val="00F7082A"/>
    <w:rsid w:val="00F90E0D"/>
    <w:rsid w:val="2CB37A84"/>
    <w:rsid w:val="546CF1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62E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ABodyText">
    <w:name w:val="04A Body Text"/>
    <w:basedOn w:val="Normal"/>
    <w:link w:val="04ABodyTextChar"/>
    <w:qFormat/>
    <w:rsid w:val="005C4FAD"/>
    <w:pPr>
      <w:spacing w:after="20" w:line="240" w:lineRule="auto"/>
      <w:textAlignment w:val="baseline"/>
    </w:pPr>
    <w:rPr>
      <w:rFonts w:ascii="Arial" w:eastAsia="STZhongsong" w:hAnsi="Arial" w:cs="Arial"/>
      <w:color w:val="000000"/>
      <w:lang w:eastAsia="en-GB"/>
    </w:rPr>
  </w:style>
  <w:style w:type="character" w:customStyle="1" w:styleId="04ABodyTextChar">
    <w:name w:val="04A Body Text Char"/>
    <w:basedOn w:val="DefaultParagraphFont"/>
    <w:link w:val="04ABodyText"/>
    <w:qFormat/>
    <w:rsid w:val="005C4FAD"/>
    <w:rPr>
      <w:rFonts w:ascii="Arial" w:eastAsia="STZhongsong" w:hAnsi="Arial" w:cs="Arial"/>
      <w:color w:val="000000"/>
      <w:lang w:eastAsia="en-GB"/>
    </w:rPr>
  </w:style>
  <w:style w:type="table" w:customStyle="1" w:styleId="TableGrid1">
    <w:name w:val="Table Grid1"/>
    <w:basedOn w:val="TableNormal"/>
    <w:next w:val="TableGrid"/>
    <w:uiPriority w:val="59"/>
    <w:rsid w:val="005C4FAD"/>
    <w:pPr>
      <w:spacing w:after="0" w:line="240" w:lineRule="auto"/>
    </w:pPr>
    <w:rPr>
      <w:rFonts w:ascii="Arial" w:eastAsia="Times New Roman"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C4FAD"/>
    <w:pPr>
      <w:spacing w:after="0" w:line="240" w:lineRule="auto"/>
    </w:pPr>
    <w:rPr>
      <w:rFonts w:ascii="Arial" w:eastAsia="Times New Roman"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5C4FAD"/>
    <w:rPr>
      <w:color w:val="467886"/>
      <w:u w:val="single"/>
    </w:rPr>
  </w:style>
  <w:style w:type="table" w:customStyle="1" w:styleId="GridTable4-Accent11">
    <w:name w:val="Grid Table 4 - Accent 11"/>
    <w:basedOn w:val="TableNormal"/>
    <w:next w:val="GridTable4-Accent1"/>
    <w:uiPriority w:val="49"/>
    <w:rsid w:val="005C4FAD"/>
    <w:pPr>
      <w:spacing w:after="0" w:line="240" w:lineRule="auto"/>
    </w:p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styleId="Hyperlink">
    <w:name w:val="Hyperlink"/>
    <w:basedOn w:val="DefaultParagraphFont"/>
    <w:uiPriority w:val="99"/>
    <w:semiHidden/>
    <w:unhideWhenUsed/>
    <w:rsid w:val="005C4FAD"/>
    <w:rPr>
      <w:color w:val="0000FF" w:themeColor="hyperlink"/>
      <w:u w:val="single"/>
    </w:rPr>
  </w:style>
  <w:style w:type="table" w:styleId="GridTable4-Accent1">
    <w:name w:val="Grid Table 4 Accent 1"/>
    <w:basedOn w:val="TableNormal"/>
    <w:uiPriority w:val="49"/>
    <w:rsid w:val="005C4FA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FootnoteText1">
    <w:name w:val="Footnote Text1"/>
    <w:basedOn w:val="Normal"/>
    <w:next w:val="FootnoteText"/>
    <w:link w:val="FootnoteTextChar"/>
    <w:uiPriority w:val="99"/>
    <w:semiHidden/>
    <w:unhideWhenUsed/>
    <w:rsid w:val="005C4FAD"/>
    <w:pPr>
      <w:spacing w:after="0" w:line="240" w:lineRule="auto"/>
    </w:pPr>
    <w:rPr>
      <w:rFonts w:ascii="Calibri" w:hAnsi="Calibri"/>
      <w:sz w:val="20"/>
      <w:szCs w:val="20"/>
    </w:rPr>
  </w:style>
  <w:style w:type="character" w:customStyle="1" w:styleId="FootnoteTextChar">
    <w:name w:val="Footnote Text Char"/>
    <w:basedOn w:val="DefaultParagraphFont"/>
    <w:link w:val="FootnoteText1"/>
    <w:uiPriority w:val="99"/>
    <w:semiHidden/>
    <w:rsid w:val="005C4FAD"/>
    <w:rPr>
      <w:rFonts w:ascii="Calibri" w:hAnsi="Calibri"/>
      <w:sz w:val="20"/>
      <w:szCs w:val="20"/>
    </w:rPr>
  </w:style>
  <w:style w:type="character" w:styleId="FootnoteReference">
    <w:name w:val="footnote reference"/>
    <w:basedOn w:val="DefaultParagraphFont"/>
    <w:uiPriority w:val="99"/>
    <w:semiHidden/>
    <w:unhideWhenUsed/>
    <w:rsid w:val="005C4FAD"/>
    <w:rPr>
      <w:vertAlign w:val="superscript"/>
    </w:rPr>
  </w:style>
  <w:style w:type="paragraph" w:styleId="FootnoteText">
    <w:name w:val="footnote text"/>
    <w:basedOn w:val="Normal"/>
    <w:link w:val="FootnoteTextChar1"/>
    <w:uiPriority w:val="99"/>
    <w:semiHidden/>
    <w:unhideWhenUsed/>
    <w:rsid w:val="005C4FAD"/>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5C4FAD"/>
    <w:rPr>
      <w:sz w:val="20"/>
      <w:szCs w:val="20"/>
    </w:rPr>
  </w:style>
  <w:style w:type="paragraph" w:styleId="ListParagraph">
    <w:name w:val="List Paragraph"/>
    <w:basedOn w:val="Normal"/>
    <w:uiPriority w:val="34"/>
    <w:qFormat/>
    <w:rsid w:val="005C4FAD"/>
    <w:pPr>
      <w:spacing w:after="160" w:line="279" w:lineRule="auto"/>
      <w:ind w:left="720"/>
      <w:contextualSpacing/>
    </w:pPr>
    <w:rPr>
      <w:rFonts w:eastAsiaTheme="minorEastAsia"/>
      <w:sz w:val="24"/>
      <w:szCs w:val="24"/>
      <w:lang w:val="en-US" w:eastAsia="ja-JP"/>
    </w:rPr>
  </w:style>
  <w:style w:type="paragraph" w:styleId="NoSpacing">
    <w:name w:val="No Spacing"/>
    <w:uiPriority w:val="1"/>
    <w:qFormat/>
    <w:rsid w:val="005C4FAD"/>
    <w:pPr>
      <w:spacing w:after="0" w:line="240" w:lineRule="auto"/>
    </w:pPr>
    <w:rPr>
      <w:rFonts w:eastAsiaTheme="minorEastAsia"/>
      <w:sz w:val="24"/>
      <w:szCs w:val="24"/>
      <w:lang w:val="en-US" w:eastAsia="ja-JP"/>
    </w:rPr>
  </w:style>
  <w:style w:type="character" w:customStyle="1" w:styleId="normaltextrun">
    <w:name w:val="normaltextrun"/>
    <w:basedOn w:val="DefaultParagraphFont"/>
    <w:rsid w:val="00765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81451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hyperlink" Target="https://assets.publishing.service.gov.uk/media/5a7c60c7e5274a7ee25670f5/wp40-planning-eval-assessments.pdf" TargetMode="External"/><Relationship Id="rId26" Type="http://schemas.openxmlformats.org/officeDocument/2006/relationships/image" Target="media/image3.png"/><Relationship Id="rId39" Type="http://schemas.openxmlformats.org/officeDocument/2006/relationships/hyperlink" Target="https://www.smartsheet.com/" TargetMode="External"/><Relationship Id="rId21" Type="http://schemas.openxmlformats.org/officeDocument/2006/relationships/hyperlink" Target="https://www.cecan.ac.uk/news/the-visual-representation-of-complexity/" TargetMode="External"/><Relationship Id="rId34"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hyperlink" Target="https://www.gov.uk/government/publications/international-scientific-report-on-advanced-ai-safety-expert-advisory-panel-and-principles-and-procedures/international-scientific-report-on-advanced-ai-safety-expert-advisory-panel-members" TargetMode="External"/><Relationship Id="rId29" Type="http://schemas.openxmlformats.org/officeDocument/2006/relationships/diagramQuickStyle" Target="diagrams/quickStyle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assets.publishing.service.gov.uk/government/uploads/system/uploads/attachment_data/file/67427/design-method-impact-eval.pdf" TargetMode="External"/><Relationship Id="rId32" Type="http://schemas.openxmlformats.org/officeDocument/2006/relationships/hyperlink" Target="https://www.gov.uk/government/publications/the-aqua-book-guidance-on-producing-quality-analysis-for-government" TargetMode="External"/><Relationship Id="rId37" Type="http://schemas.openxmlformats.org/officeDocument/2006/relationships/hyperlink" Target="https://www.mrs.org.uk/about/mrqsab"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image" Target="media/image2.png"/><Relationship Id="rId28" Type="http://schemas.openxmlformats.org/officeDocument/2006/relationships/diagramLayout" Target="diagrams/layout2.xml"/><Relationship Id="rId36"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www.whitecase.com/insight-our-thinking/ai-watch-global-regulatory-tracker" TargetMode="External"/><Relationship Id="rId31" Type="http://schemas.microsoft.com/office/2007/relationships/diagramDrawing" Target="diagrams/drawing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image" Target="media/image1.png"/><Relationship Id="rId27" Type="http://schemas.openxmlformats.org/officeDocument/2006/relationships/diagramData" Target="diagrams/data2.xml"/><Relationship Id="rId30" Type="http://schemas.openxmlformats.org/officeDocument/2006/relationships/diagramColors" Target="diagrams/colors2.xm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diagramData" Target="diagrams/data1.xml"/><Relationship Id="rId17" Type="http://schemas.openxmlformats.org/officeDocument/2006/relationships/hyperlink" Target="https://www.gov.uk/government/publications/frontier-ai-capabilities-and-risks-discussion-paper" TargetMode="External"/><Relationship Id="rId25" Type="http://schemas.openxmlformats.org/officeDocument/2006/relationships/hyperlink" Target="https://www.utpjournals.press/doi/pdf/10.3138/cjpe.68004" TargetMode="External"/><Relationship Id="rId33" Type="http://schemas.openxmlformats.org/officeDocument/2006/relationships/hyperlink" Target="https://www.gov.uk/government/publications/the-magenta-book" TargetMode="External"/><Relationship Id="rId38" Type="http://schemas.openxmlformats.org/officeDocument/2006/relationships/hyperlink" Target="https://www.mrs.org.uk/about/mrqsab"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uroparl.europa.eu/news/en/press-room/20240308IPR19015/artificial-intelligence-act-meps-adopt-landmark-law" TargetMode="External"/><Relationship Id="rId3" Type="http://schemas.openxmlformats.org/officeDocument/2006/relationships/hyperlink" Target="https://www.gov.uk/government/news/global-leaders-agree-to-launch-first-international-network-of-ai-safety-institutes-to-boost-understanding-of-ai" TargetMode="External"/><Relationship Id="rId7" Type="http://schemas.openxmlformats.org/officeDocument/2006/relationships/hyperlink" Target="https://www.nist.gov/aisi" TargetMode="External"/><Relationship Id="rId2" Type="http://schemas.openxmlformats.org/officeDocument/2006/relationships/hyperlink" Target="https://www.gov.uk/government/news/global-leaders-agree-to-launch-first-international-network-of-ai-safety-institutes-to-boost-understanding-of-ai" TargetMode="External"/><Relationship Id="rId1" Type="http://schemas.openxmlformats.org/officeDocument/2006/relationships/hyperlink" Target="https://www.gov.uk/government/publications/ai-safety-institute-overview/introducing-the-ai-safety-institute" TargetMode="External"/><Relationship Id="rId6" Type="http://schemas.openxmlformats.org/officeDocument/2006/relationships/hyperlink" Target="https://www.whitehouse.gov/briefing-room/presidential-actions/2023/10/30/executive-order-on-the-safe-secure-and-trustworthy-development-and-use-of-artificial-intelligence/" TargetMode="External"/><Relationship Id="rId5" Type="http://schemas.openxmlformats.org/officeDocument/2006/relationships/hyperlink" Target="https://www.gov.uk/government/news/governments-trailblazing-institute-for-ai-safety-to-open-doors-in-san-francisco" TargetMode="External"/><Relationship Id="rId4" Type="http://schemas.openxmlformats.org/officeDocument/2006/relationships/hyperlink" Target="https://www.nist.gov/system/files/documents/2024/05/21/AISI-vision-21May2024.pdf" TargetMode="External"/><Relationship Id="rId9" Type="http://schemas.openxmlformats.org/officeDocument/2006/relationships/hyperlink" Target="https://www.euractiv.com/section/artificial-intelligence/news/commissions-dg-for-technology-restructures-to-realise-ai-office/"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7B1532-4AFE-4E8E-AC67-62B13EAA77B2}"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GB"/>
        </a:p>
      </dgm:t>
    </dgm:pt>
    <dgm:pt modelId="{BD9D106E-9303-4493-91F3-FB010F801720}">
      <dgm:prSet phldrT="[Text]"/>
      <dgm:spPr>
        <a:xfrm>
          <a:off x="2004"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gm:spPr>
      <dgm:t>
        <a:bodyPr/>
        <a:lstStyle/>
        <a:p>
          <a:pPr>
            <a:buNone/>
          </a:pPr>
          <a:r>
            <a:rPr lang="en-GB">
              <a:solidFill>
                <a:sysClr val="window" lastClr="FFFFFF"/>
              </a:solidFill>
              <a:latin typeface="Calibri"/>
              <a:ea typeface="+mn-ea"/>
              <a:cs typeface="+mn-cs"/>
            </a:rPr>
            <a:t>Scoping Phase (1) - Jun-Dec 2024</a:t>
          </a:r>
        </a:p>
      </dgm:t>
    </dgm:pt>
    <dgm:pt modelId="{CDC1B477-75E9-4DE5-9025-92115FF2AB72}" type="parTrans" cxnId="{4033FE99-A5C1-490B-B83B-7BED246AA7CB}">
      <dgm:prSet/>
      <dgm:spPr/>
      <dgm:t>
        <a:bodyPr/>
        <a:lstStyle/>
        <a:p>
          <a:endParaRPr lang="en-GB"/>
        </a:p>
      </dgm:t>
    </dgm:pt>
    <dgm:pt modelId="{B0028F5C-59BE-4DE8-ABCD-71A7869BB8C7}" type="sibTrans" cxnId="{4033FE99-A5C1-490B-B83B-7BED246AA7CB}">
      <dgm:prSet/>
      <dgm:spPr/>
      <dgm:t>
        <a:bodyPr/>
        <a:lstStyle/>
        <a:p>
          <a:endParaRPr lang="en-GB"/>
        </a:p>
      </dgm:t>
    </dgm:pt>
    <dgm:pt modelId="{850F70CE-CCB6-4313-B219-A48931A832CE}">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Familiarisation</a:t>
          </a:r>
        </a:p>
      </dgm:t>
    </dgm:pt>
    <dgm:pt modelId="{C2B71064-457D-4584-82EC-9EC879EE41E1}" type="parTrans" cxnId="{A3AC2710-8685-4890-A9C0-203B587091D6}">
      <dgm:prSet/>
      <dgm:spPr/>
      <dgm:t>
        <a:bodyPr/>
        <a:lstStyle/>
        <a:p>
          <a:endParaRPr lang="en-GB"/>
        </a:p>
      </dgm:t>
    </dgm:pt>
    <dgm:pt modelId="{2E00195C-0B90-49E4-854B-73D35F3DDB20}" type="sibTrans" cxnId="{A3AC2710-8685-4890-A9C0-203B587091D6}">
      <dgm:prSet/>
      <dgm:spPr/>
      <dgm:t>
        <a:bodyPr/>
        <a:lstStyle/>
        <a:p>
          <a:endParaRPr lang="en-GB"/>
        </a:p>
      </dgm:t>
    </dgm:pt>
    <dgm:pt modelId="{7E1321FA-4931-42F1-A0FE-7795A7BB23A7}">
      <dgm:prSet phldrT="[Text]"/>
      <dgm:spPr>
        <a:xfrm>
          <a:off x="2229693"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gm:spPr>
      <dgm:t>
        <a:bodyPr/>
        <a:lstStyle/>
        <a:p>
          <a:pPr>
            <a:buNone/>
          </a:pPr>
          <a:r>
            <a:rPr lang="en-GB">
              <a:solidFill>
                <a:sysClr val="window" lastClr="FFFFFF"/>
              </a:solidFill>
              <a:latin typeface="Calibri"/>
              <a:ea typeface="+mn-ea"/>
              <a:cs typeface="+mn-cs"/>
            </a:rPr>
            <a:t>Interim Phase (2) - Jan - Jun 2025</a:t>
          </a:r>
        </a:p>
      </dgm:t>
    </dgm:pt>
    <dgm:pt modelId="{C4FDD557-11ED-4DC5-B050-D6884AD036EC}" type="parTrans" cxnId="{11B73579-7862-416A-978D-A4290D26BE8E}">
      <dgm:prSet/>
      <dgm:spPr/>
      <dgm:t>
        <a:bodyPr/>
        <a:lstStyle/>
        <a:p>
          <a:endParaRPr lang="en-GB"/>
        </a:p>
      </dgm:t>
    </dgm:pt>
    <dgm:pt modelId="{FF5D1814-A9A6-44FA-8AC1-876F8CB51D43}" type="sibTrans" cxnId="{11B73579-7862-416A-978D-A4290D26BE8E}">
      <dgm:prSet/>
      <dgm:spPr/>
      <dgm:t>
        <a:bodyPr/>
        <a:lstStyle/>
        <a:p>
          <a:endParaRPr lang="en-GB"/>
        </a:p>
      </dgm:t>
    </dgm:pt>
    <dgm:pt modelId="{C17090CE-21ED-44F1-84D8-A9A27E1178F3}">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Evaluation matrix development</a:t>
          </a:r>
        </a:p>
      </dgm:t>
    </dgm:pt>
    <dgm:pt modelId="{8016467A-24F6-49AB-9DAB-2A3B5D750480}" type="parTrans" cxnId="{10F49750-0D06-4836-B068-17F4A76E2C4B}">
      <dgm:prSet/>
      <dgm:spPr/>
      <dgm:t>
        <a:bodyPr/>
        <a:lstStyle/>
        <a:p>
          <a:endParaRPr lang="en-GB"/>
        </a:p>
      </dgm:t>
    </dgm:pt>
    <dgm:pt modelId="{091D3BE8-FA6B-4BE2-96E7-4C2F3AE5391E}" type="sibTrans" cxnId="{10F49750-0D06-4836-B068-17F4A76E2C4B}">
      <dgm:prSet/>
      <dgm:spPr/>
      <dgm:t>
        <a:bodyPr/>
        <a:lstStyle/>
        <a:p>
          <a:endParaRPr lang="en-GB"/>
        </a:p>
      </dgm:t>
    </dgm:pt>
    <dgm:pt modelId="{FABDBB85-5BC3-49E0-9534-56D0A5290878}">
      <dgm:prSet phldrT="[Text]"/>
      <dgm:spPr>
        <a:xfrm>
          <a:off x="4457382"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gm:spPr>
      <dgm:t>
        <a:bodyPr/>
        <a:lstStyle/>
        <a:p>
          <a:pPr>
            <a:buNone/>
          </a:pPr>
          <a:r>
            <a:rPr lang="en-GB">
              <a:solidFill>
                <a:sysClr val="window" lastClr="FFFFFF"/>
              </a:solidFill>
              <a:latin typeface="Calibri"/>
              <a:ea typeface="+mn-ea"/>
              <a:cs typeface="+mn-cs"/>
            </a:rPr>
            <a:t>Final Phase (3) - Jul 2025 - Mar 2026</a:t>
          </a:r>
        </a:p>
      </dgm:t>
    </dgm:pt>
    <dgm:pt modelId="{41F73EAB-A0CA-4BB0-BE7D-467748859EED}" type="parTrans" cxnId="{34951F45-FAC9-49EF-B4BB-4669B90953EB}">
      <dgm:prSet/>
      <dgm:spPr/>
      <dgm:t>
        <a:bodyPr/>
        <a:lstStyle/>
        <a:p>
          <a:endParaRPr lang="en-GB"/>
        </a:p>
      </dgm:t>
    </dgm:pt>
    <dgm:pt modelId="{FDB8B970-C675-4BEB-8753-ADF69A1EB54E}" type="sibTrans" cxnId="{34951F45-FAC9-49EF-B4BB-4669B90953EB}">
      <dgm:prSet/>
      <dgm:spPr/>
      <dgm:t>
        <a:bodyPr/>
        <a:lstStyle/>
        <a:p>
          <a:endParaRPr lang="en-GB"/>
        </a:p>
      </dgm:t>
    </dgm:pt>
    <dgm:pt modelId="{D2B5FD8D-2B24-4068-91B3-C9FE248BAD78}">
      <dgm:prSet phldrT="[Tex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Final phase impact evaluation planning</a:t>
          </a:r>
        </a:p>
      </dgm:t>
    </dgm:pt>
    <dgm:pt modelId="{7D65F8D6-E948-40FC-824B-7A9E3297C962}" type="parTrans" cxnId="{7674A79D-4B97-4AE2-A5DB-A78D9CD8B019}">
      <dgm:prSet/>
      <dgm:spPr/>
      <dgm:t>
        <a:bodyPr/>
        <a:lstStyle/>
        <a:p>
          <a:endParaRPr lang="en-GB"/>
        </a:p>
      </dgm:t>
    </dgm:pt>
    <dgm:pt modelId="{EDF81A6B-92C3-4B1C-BA81-428E457DF7B1}" type="sibTrans" cxnId="{7674A79D-4B97-4AE2-A5DB-A78D9CD8B019}">
      <dgm:prSet/>
      <dgm:spPr/>
      <dgm:t>
        <a:bodyPr/>
        <a:lstStyle/>
        <a:p>
          <a:endParaRPr lang="en-GB"/>
        </a:p>
      </dgm:t>
    </dgm:pt>
    <dgm:pt modelId="{5F6311DE-C859-4974-920D-A34BE2AE90AC}">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endParaRPr lang="en-GB">
            <a:solidFill>
              <a:sysClr val="windowText" lastClr="000000">
                <a:hueOff val="0"/>
                <a:satOff val="0"/>
                <a:lumOff val="0"/>
                <a:alphaOff val="0"/>
              </a:sysClr>
            </a:solidFill>
            <a:latin typeface="Calibri"/>
            <a:ea typeface="+mn-ea"/>
            <a:cs typeface="+mn-cs"/>
          </a:endParaRPr>
        </a:p>
      </dgm:t>
    </dgm:pt>
    <dgm:pt modelId="{B6BE44E0-4ED8-4A92-B076-091B0D982A05}" type="parTrans" cxnId="{3EEC1EDA-9EB9-4704-998C-A2207D1D745E}">
      <dgm:prSet/>
      <dgm:spPr/>
      <dgm:t>
        <a:bodyPr/>
        <a:lstStyle/>
        <a:p>
          <a:endParaRPr lang="en-GB"/>
        </a:p>
      </dgm:t>
    </dgm:pt>
    <dgm:pt modelId="{B2D5EE5F-B2B4-4FEB-A9B6-9A25FF0920E2}" type="sibTrans" cxnId="{3EEC1EDA-9EB9-4704-998C-A2207D1D745E}">
      <dgm:prSet/>
      <dgm:spPr/>
      <dgm:t>
        <a:bodyPr/>
        <a:lstStyle/>
        <a:p>
          <a:endParaRPr lang="en-GB"/>
        </a:p>
      </dgm:t>
    </dgm:pt>
    <dgm:pt modelId="{8DBB9D30-EA5E-4865-ADF5-1F47CE1732F5}">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ToC development</a:t>
          </a:r>
        </a:p>
      </dgm:t>
    </dgm:pt>
    <dgm:pt modelId="{38E0DFA1-2FF7-4330-ABEE-7A9F94381E79}" type="parTrans" cxnId="{93F1D53C-4D5D-4E6A-8FE5-F51F1284BC27}">
      <dgm:prSet/>
      <dgm:spPr/>
      <dgm:t>
        <a:bodyPr/>
        <a:lstStyle/>
        <a:p>
          <a:endParaRPr lang="en-GB"/>
        </a:p>
      </dgm:t>
    </dgm:pt>
    <dgm:pt modelId="{C907C6A7-20BF-4F3A-8C44-98C561243866}" type="sibTrans" cxnId="{93F1D53C-4D5D-4E6A-8FE5-F51F1284BC27}">
      <dgm:prSet/>
      <dgm:spPr/>
      <dgm:t>
        <a:bodyPr/>
        <a:lstStyle/>
        <a:p>
          <a:endParaRPr lang="en-GB"/>
        </a:p>
      </dgm:t>
    </dgm:pt>
    <dgm:pt modelId="{A43885A4-9361-4C9E-9F9B-C42ADCA45A26}">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Systems mapping</a:t>
          </a:r>
        </a:p>
      </dgm:t>
    </dgm:pt>
    <dgm:pt modelId="{3A415E5F-3597-41FC-9670-27A7DA7B048F}" type="parTrans" cxnId="{5455AE6A-24B7-40B1-8135-0E5CC309160E}">
      <dgm:prSet/>
      <dgm:spPr/>
      <dgm:t>
        <a:bodyPr/>
        <a:lstStyle/>
        <a:p>
          <a:endParaRPr lang="en-GB"/>
        </a:p>
      </dgm:t>
    </dgm:pt>
    <dgm:pt modelId="{EC0B2166-79FE-48ED-874F-50B5506751DE}" type="sibTrans" cxnId="{5455AE6A-24B7-40B1-8135-0E5CC309160E}">
      <dgm:prSet/>
      <dgm:spPr/>
      <dgm:t>
        <a:bodyPr/>
        <a:lstStyle/>
        <a:p>
          <a:endParaRPr lang="en-GB"/>
        </a:p>
      </dgm:t>
    </dgm:pt>
    <dgm:pt modelId="{4368559F-9210-4AF0-8DB8-D6B02C2CCF1E}">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Evidence source identification</a:t>
          </a:r>
        </a:p>
      </dgm:t>
    </dgm:pt>
    <dgm:pt modelId="{5B78F07A-0F2A-4B50-8F2A-8D5E41E1A0B8}" type="parTrans" cxnId="{478E4A68-B88D-4BA1-9F0F-872A57F1769B}">
      <dgm:prSet/>
      <dgm:spPr/>
      <dgm:t>
        <a:bodyPr/>
        <a:lstStyle/>
        <a:p>
          <a:endParaRPr lang="en-GB"/>
        </a:p>
      </dgm:t>
    </dgm:pt>
    <dgm:pt modelId="{CCB1C01D-E583-4CB6-9301-CEBDD48D6C92}" type="sibTrans" cxnId="{478E4A68-B88D-4BA1-9F0F-872A57F1769B}">
      <dgm:prSet/>
      <dgm:spPr/>
      <dgm:t>
        <a:bodyPr/>
        <a:lstStyle/>
        <a:p>
          <a:endParaRPr lang="en-GB"/>
        </a:p>
      </dgm:t>
    </dgm:pt>
    <dgm:pt modelId="{89455583-4AA3-4EBC-A2B9-114B9ED68B31}">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Stakeholder mapping  &amp; engagement plan</a:t>
          </a:r>
        </a:p>
      </dgm:t>
    </dgm:pt>
    <dgm:pt modelId="{8AD0D599-F6A8-40C3-B31F-8D97231485F6}" type="parTrans" cxnId="{986F390A-CBD6-4B3A-BD9F-0701750C7F4A}">
      <dgm:prSet/>
      <dgm:spPr/>
      <dgm:t>
        <a:bodyPr/>
        <a:lstStyle/>
        <a:p>
          <a:endParaRPr lang="en-GB"/>
        </a:p>
      </dgm:t>
    </dgm:pt>
    <dgm:pt modelId="{01D5D44A-3FB9-471B-ABEA-29349B1C769F}" type="sibTrans" cxnId="{986F390A-CBD6-4B3A-BD9F-0701750C7F4A}">
      <dgm:prSet/>
      <dgm:spPr/>
      <dgm:t>
        <a:bodyPr/>
        <a:lstStyle/>
        <a:p>
          <a:endParaRPr lang="en-GB"/>
        </a:p>
      </dgm:t>
    </dgm:pt>
    <dgm:pt modelId="{176D9C14-E15F-4D34-A969-9CD73074896A}">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Methods selction &amp; Design</a:t>
          </a:r>
        </a:p>
      </dgm:t>
    </dgm:pt>
    <dgm:pt modelId="{B4A09298-2075-4534-8F5F-CFEE119366F3}" type="parTrans" cxnId="{2444C9B8-7E6D-4495-9515-433182440C2B}">
      <dgm:prSet/>
      <dgm:spPr/>
      <dgm:t>
        <a:bodyPr/>
        <a:lstStyle/>
        <a:p>
          <a:endParaRPr lang="en-GB"/>
        </a:p>
      </dgm:t>
    </dgm:pt>
    <dgm:pt modelId="{71D697EF-5B88-4EA6-B09C-B5CFA2147225}" type="sibTrans" cxnId="{2444C9B8-7E6D-4495-9515-433182440C2B}">
      <dgm:prSet/>
      <dgm:spPr/>
      <dgm:t>
        <a:bodyPr/>
        <a:lstStyle/>
        <a:p>
          <a:endParaRPr lang="en-GB"/>
        </a:p>
      </dgm:t>
    </dgm:pt>
    <dgm:pt modelId="{B0BFA212-7349-49F5-94DE-A5018A113882}">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Draft &amp; Final Scoping Report</a:t>
          </a:r>
        </a:p>
      </dgm:t>
    </dgm:pt>
    <dgm:pt modelId="{43535401-D66C-48A0-9DE3-0317B79FA555}" type="parTrans" cxnId="{0DC57DD2-B20D-4C6B-8A62-88024E1800C2}">
      <dgm:prSet/>
      <dgm:spPr/>
      <dgm:t>
        <a:bodyPr/>
        <a:lstStyle/>
        <a:p>
          <a:endParaRPr lang="en-GB"/>
        </a:p>
      </dgm:t>
    </dgm:pt>
    <dgm:pt modelId="{9E990215-6EA1-4192-A488-234097E3681E}" type="sibTrans" cxnId="{0DC57DD2-B20D-4C6B-8A62-88024E1800C2}">
      <dgm:prSet/>
      <dgm:spPr/>
      <dgm:t>
        <a:bodyPr/>
        <a:lstStyle/>
        <a:p>
          <a:endParaRPr lang="en-GB"/>
        </a:p>
      </dgm:t>
    </dgm:pt>
    <dgm:pt modelId="{5659E371-36AC-4167-B4C4-A0964416C113}">
      <dgm:prSet phldrT="[Text]"/>
      <dgm: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Presentations</a:t>
          </a:r>
        </a:p>
      </dgm:t>
    </dgm:pt>
    <dgm:pt modelId="{89B57AA8-F39E-4647-BECD-AA4D2DFACC66}" type="parTrans" cxnId="{B5D8D3B3-8BDE-481B-9B69-3F9A48A15130}">
      <dgm:prSet/>
      <dgm:spPr/>
      <dgm:t>
        <a:bodyPr/>
        <a:lstStyle/>
        <a:p>
          <a:endParaRPr lang="en-GB"/>
        </a:p>
      </dgm:t>
    </dgm:pt>
    <dgm:pt modelId="{3C62E67E-B058-4148-B4DA-61D8C7686934}" type="sibTrans" cxnId="{B5D8D3B3-8BDE-481B-9B69-3F9A48A15130}">
      <dgm:prSet/>
      <dgm:spPr/>
      <dgm:t>
        <a:bodyPr/>
        <a:lstStyle/>
        <a:p>
          <a:endParaRPr lang="en-GB"/>
        </a:p>
      </dgm:t>
    </dgm:pt>
    <dgm:pt modelId="{C8FA5998-8673-438A-801E-DAE2C3B97A53}">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Research tool development</a:t>
          </a:r>
        </a:p>
      </dgm:t>
    </dgm:pt>
    <dgm:pt modelId="{D2044D23-D13E-49EA-8505-59B83A15A34A}" type="parTrans" cxnId="{392937A2-5F64-4D03-BC1A-AB7D11DF3A07}">
      <dgm:prSet/>
      <dgm:spPr/>
      <dgm:t>
        <a:bodyPr/>
        <a:lstStyle/>
        <a:p>
          <a:endParaRPr lang="en-GB"/>
        </a:p>
      </dgm:t>
    </dgm:pt>
    <dgm:pt modelId="{2F27577F-3A09-43B0-B1B5-E67844DBD12F}" type="sibTrans" cxnId="{392937A2-5F64-4D03-BC1A-AB7D11DF3A07}">
      <dgm:prSet/>
      <dgm:spPr/>
      <dgm:t>
        <a:bodyPr/>
        <a:lstStyle/>
        <a:p>
          <a:endParaRPr lang="en-GB"/>
        </a:p>
      </dgm:t>
    </dgm:pt>
    <dgm:pt modelId="{B0B0D5D4-7D03-4626-B09C-D042F466F81D}">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Qualitative data collection</a:t>
          </a:r>
        </a:p>
      </dgm:t>
    </dgm:pt>
    <dgm:pt modelId="{8F16427F-C286-4126-8BBA-98F9C18CD73F}" type="parTrans" cxnId="{8C1B023D-AACD-4969-9A53-4F9DCEEE4867}">
      <dgm:prSet/>
      <dgm:spPr/>
      <dgm:t>
        <a:bodyPr/>
        <a:lstStyle/>
        <a:p>
          <a:endParaRPr lang="en-GB"/>
        </a:p>
      </dgm:t>
    </dgm:pt>
    <dgm:pt modelId="{A7A9ACA9-AADC-426E-8043-231A8B11C821}" type="sibTrans" cxnId="{8C1B023D-AACD-4969-9A53-4F9DCEEE4867}">
      <dgm:prSet/>
      <dgm:spPr/>
      <dgm:t>
        <a:bodyPr/>
        <a:lstStyle/>
        <a:p>
          <a:endParaRPr lang="en-GB"/>
        </a:p>
      </dgm:t>
    </dgm:pt>
    <dgm:pt modelId="{98A94B2B-E6F4-4C50-A987-26FA727F8E20}">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Surveys</a:t>
          </a:r>
        </a:p>
      </dgm:t>
    </dgm:pt>
    <dgm:pt modelId="{AE311D5C-5EC7-4FBA-8E13-B03B169250AC}" type="parTrans" cxnId="{E83EDA59-0E28-4D22-A332-420EA76FBD18}">
      <dgm:prSet/>
      <dgm:spPr/>
      <dgm:t>
        <a:bodyPr/>
        <a:lstStyle/>
        <a:p>
          <a:endParaRPr lang="en-GB"/>
        </a:p>
      </dgm:t>
    </dgm:pt>
    <dgm:pt modelId="{F259EEB6-4A74-4B95-ABA2-620DFD69EA60}" type="sibTrans" cxnId="{E83EDA59-0E28-4D22-A332-420EA76FBD18}">
      <dgm:prSet/>
      <dgm:spPr/>
      <dgm:t>
        <a:bodyPr/>
        <a:lstStyle/>
        <a:p>
          <a:endParaRPr lang="en-GB"/>
        </a:p>
      </dgm:t>
    </dgm:pt>
    <dgm:pt modelId="{A67B7F6F-A401-4A1E-8285-E558EEE7D0A8}">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Data analysis</a:t>
          </a:r>
        </a:p>
      </dgm:t>
    </dgm:pt>
    <dgm:pt modelId="{17BFFD76-5AF9-4E90-B8AE-9941C607EB5D}" type="parTrans" cxnId="{C93FD437-7BBA-439D-8AD8-03E4045ACCA3}">
      <dgm:prSet/>
      <dgm:spPr/>
      <dgm:t>
        <a:bodyPr/>
        <a:lstStyle/>
        <a:p>
          <a:endParaRPr lang="en-GB"/>
        </a:p>
      </dgm:t>
    </dgm:pt>
    <dgm:pt modelId="{A426E9A5-79E0-4A45-A5D0-D4A5CC7DE655}" type="sibTrans" cxnId="{C93FD437-7BBA-439D-8AD8-03E4045ACCA3}">
      <dgm:prSet/>
      <dgm:spPr/>
      <dgm:t>
        <a:bodyPr/>
        <a:lstStyle/>
        <a:p>
          <a:endParaRPr lang="en-GB"/>
        </a:p>
      </dgm:t>
    </dgm:pt>
    <dgm:pt modelId="{F69162F8-623E-43B8-9DBB-E453098142E5}">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Baseline development</a:t>
          </a:r>
        </a:p>
      </dgm:t>
    </dgm:pt>
    <dgm:pt modelId="{34B623CF-E7B5-47A2-9D8C-FAD967678217}" type="parTrans" cxnId="{D85BCF8E-1901-41E8-B94B-644E964566E5}">
      <dgm:prSet/>
      <dgm:spPr/>
      <dgm:t>
        <a:bodyPr/>
        <a:lstStyle/>
        <a:p>
          <a:endParaRPr lang="en-GB"/>
        </a:p>
      </dgm:t>
    </dgm:pt>
    <dgm:pt modelId="{00E707A2-FE24-4D27-B13F-FC67B3295516}" type="sibTrans" cxnId="{D85BCF8E-1901-41E8-B94B-644E964566E5}">
      <dgm:prSet/>
      <dgm:spPr/>
      <dgm:t>
        <a:bodyPr/>
        <a:lstStyle/>
        <a:p>
          <a:endParaRPr lang="en-GB"/>
        </a:p>
      </dgm:t>
    </dgm:pt>
    <dgm:pt modelId="{12E75933-E687-4A76-84B8-4478E681BB43}">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Process evaluation</a:t>
          </a:r>
        </a:p>
      </dgm:t>
    </dgm:pt>
    <dgm:pt modelId="{E92D870E-3BDD-4AFB-81DE-3096CEE67A2E}" type="parTrans" cxnId="{C104E239-089F-4489-9C5E-7C2C5301D690}">
      <dgm:prSet/>
      <dgm:spPr/>
      <dgm:t>
        <a:bodyPr/>
        <a:lstStyle/>
        <a:p>
          <a:endParaRPr lang="en-GB"/>
        </a:p>
      </dgm:t>
    </dgm:pt>
    <dgm:pt modelId="{5C9A53CF-5A3E-4E0F-A8FC-B02364A41CC7}" type="sibTrans" cxnId="{C104E239-089F-4489-9C5E-7C2C5301D690}">
      <dgm:prSet/>
      <dgm:spPr/>
      <dgm:t>
        <a:bodyPr/>
        <a:lstStyle/>
        <a:p>
          <a:endParaRPr lang="en-GB"/>
        </a:p>
      </dgm:t>
    </dgm:pt>
    <dgm:pt modelId="{83DF9AA5-46AC-44A0-8D4A-7278AB4E0547}">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Initial impact evaluation</a:t>
          </a:r>
        </a:p>
      </dgm:t>
    </dgm:pt>
    <dgm:pt modelId="{374BB7AD-C6D7-43CB-93AA-2DB5533E36E4}" type="parTrans" cxnId="{68BADBDA-6EBC-4A4B-A26D-DB7EAFB2760F}">
      <dgm:prSet/>
      <dgm:spPr/>
      <dgm:t>
        <a:bodyPr/>
        <a:lstStyle/>
        <a:p>
          <a:endParaRPr lang="en-GB"/>
        </a:p>
      </dgm:t>
    </dgm:pt>
    <dgm:pt modelId="{00BFDC84-C9DB-42F7-8ED6-A52A9A9BA987}" type="sibTrans" cxnId="{68BADBDA-6EBC-4A4B-A26D-DB7EAFB2760F}">
      <dgm:prSet/>
      <dgm:spPr/>
      <dgm:t>
        <a:bodyPr/>
        <a:lstStyle/>
        <a:p>
          <a:endParaRPr lang="en-GB"/>
        </a:p>
      </dgm:t>
    </dgm:pt>
    <dgm:pt modelId="{B5079788-27B7-45CB-8538-65D71CD7623D}">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Draft and final Interim Report</a:t>
          </a:r>
        </a:p>
      </dgm:t>
    </dgm:pt>
    <dgm:pt modelId="{67F841A2-956B-4BB8-9EB0-6716136B54EC}" type="parTrans" cxnId="{411D3494-A422-483A-B209-6857C2BF7DBB}">
      <dgm:prSet/>
      <dgm:spPr/>
      <dgm:t>
        <a:bodyPr/>
        <a:lstStyle/>
        <a:p>
          <a:endParaRPr lang="en-GB"/>
        </a:p>
      </dgm:t>
    </dgm:pt>
    <dgm:pt modelId="{627F21A5-9259-44E4-9025-F44D5227434F}" type="sibTrans" cxnId="{411D3494-A422-483A-B209-6857C2BF7DBB}">
      <dgm:prSet/>
      <dgm:spPr/>
      <dgm:t>
        <a:bodyPr/>
        <a:lstStyle/>
        <a:p>
          <a:endParaRPr lang="en-GB"/>
        </a:p>
      </dgm:t>
    </dgm:pt>
    <dgm:pt modelId="{9422C213-DF54-4F8C-8462-61D6C386D728}">
      <dgm:prSet phldrT="[Text]"/>
      <dgm: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Presentations</a:t>
          </a:r>
        </a:p>
      </dgm:t>
    </dgm:pt>
    <dgm:pt modelId="{6A7558C7-F878-42CE-8E9A-C2CE0BB9B10E}" type="parTrans" cxnId="{C1927D95-641A-4BC0-AB2C-1D5BE98A4138}">
      <dgm:prSet/>
      <dgm:spPr/>
      <dgm:t>
        <a:bodyPr/>
        <a:lstStyle/>
        <a:p>
          <a:endParaRPr lang="en-GB"/>
        </a:p>
      </dgm:t>
    </dgm:pt>
    <dgm:pt modelId="{0C7406D4-9015-4278-8A4C-902351B2FC46}" type="sibTrans" cxnId="{C1927D95-641A-4BC0-AB2C-1D5BE98A4138}">
      <dgm:prSet/>
      <dgm:spPr/>
      <dgm:t>
        <a:bodyPr/>
        <a:lstStyle/>
        <a:p>
          <a:endParaRPr lang="en-GB"/>
        </a:p>
      </dgm:t>
    </dgm:pt>
    <dgm:pt modelId="{A4173CEE-70ED-4562-85FF-624A2CD75679}">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Evidence review</a:t>
          </a:r>
        </a:p>
      </dgm:t>
    </dgm:pt>
    <dgm:pt modelId="{146BE174-23FB-4885-802F-B4182D84AC94}" type="parTrans" cxnId="{7DAB0E3D-7C7D-4F8F-9599-7F1CF9766AE7}">
      <dgm:prSet/>
      <dgm:spPr/>
      <dgm:t>
        <a:bodyPr/>
        <a:lstStyle/>
        <a:p>
          <a:endParaRPr lang="en-GB"/>
        </a:p>
      </dgm:t>
    </dgm:pt>
    <dgm:pt modelId="{1F543F30-1100-4CEF-A51B-C3A2EE062FFD}" type="sibTrans" cxnId="{7DAB0E3D-7C7D-4F8F-9599-7F1CF9766AE7}">
      <dgm:prSet/>
      <dgm:spPr/>
      <dgm:t>
        <a:bodyPr/>
        <a:lstStyle/>
        <a:p>
          <a:endParaRPr lang="en-GB"/>
        </a:p>
      </dgm:t>
    </dgm:pt>
    <dgm:pt modelId="{40A6F4AE-FC60-498A-80A1-34C077C5609B}">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Qualitative data collection</a:t>
          </a:r>
        </a:p>
      </dgm:t>
    </dgm:pt>
    <dgm:pt modelId="{C5375D25-6885-4A8D-8213-9389BB8FE079}" type="parTrans" cxnId="{086A851F-C806-4E97-B256-873E50F3F588}">
      <dgm:prSet/>
      <dgm:spPr/>
      <dgm:t>
        <a:bodyPr/>
        <a:lstStyle/>
        <a:p>
          <a:endParaRPr lang="en-GB"/>
        </a:p>
      </dgm:t>
    </dgm:pt>
    <dgm:pt modelId="{7D177460-88FF-4E3F-9455-FDC2F0181058}" type="sibTrans" cxnId="{086A851F-C806-4E97-B256-873E50F3F588}">
      <dgm:prSet/>
      <dgm:spPr/>
      <dgm:t>
        <a:bodyPr/>
        <a:lstStyle/>
        <a:p>
          <a:endParaRPr lang="en-GB"/>
        </a:p>
      </dgm:t>
    </dgm:pt>
    <dgm:pt modelId="{9B654C32-D57C-4663-AEB9-F7CAA793D715}">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Surveys</a:t>
          </a:r>
        </a:p>
      </dgm:t>
    </dgm:pt>
    <dgm:pt modelId="{ACA10103-44C3-4E51-9215-B821D80A266B}" type="parTrans" cxnId="{AE485E3A-26BE-41CE-8203-9FD7BF675975}">
      <dgm:prSet/>
      <dgm:spPr/>
      <dgm:t>
        <a:bodyPr/>
        <a:lstStyle/>
        <a:p>
          <a:endParaRPr lang="en-GB"/>
        </a:p>
      </dgm:t>
    </dgm:pt>
    <dgm:pt modelId="{2D819848-9D6B-43F4-89FC-3B49442314FB}" type="sibTrans" cxnId="{AE485E3A-26BE-41CE-8203-9FD7BF675975}">
      <dgm:prSet/>
      <dgm:spPr/>
      <dgm:t>
        <a:bodyPr/>
        <a:lstStyle/>
        <a:p>
          <a:endParaRPr lang="en-GB"/>
        </a:p>
      </dgm:t>
    </dgm:pt>
    <dgm:pt modelId="{DF5471BC-369D-48AD-A0F8-FD8813D1A173}">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Data analysis</a:t>
          </a:r>
        </a:p>
      </dgm:t>
    </dgm:pt>
    <dgm:pt modelId="{10997DB8-DE99-48CA-AFF7-1E0FEE0393EA}" type="parTrans" cxnId="{24DC7F6C-434B-4A5A-9F71-73C9A8FA1580}">
      <dgm:prSet/>
      <dgm:spPr/>
      <dgm:t>
        <a:bodyPr/>
        <a:lstStyle/>
        <a:p>
          <a:endParaRPr lang="en-GB"/>
        </a:p>
      </dgm:t>
    </dgm:pt>
    <dgm:pt modelId="{7A8D161A-A86C-4138-B025-4741AE87B508}" type="sibTrans" cxnId="{24DC7F6C-434B-4A5A-9F71-73C9A8FA1580}">
      <dgm:prSet/>
      <dgm:spPr/>
      <dgm:t>
        <a:bodyPr/>
        <a:lstStyle/>
        <a:p>
          <a:endParaRPr lang="en-GB"/>
        </a:p>
      </dgm:t>
    </dgm:pt>
    <dgm:pt modelId="{6205CB05-80B9-422E-B0A0-FAB990E88A4D}">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Baseline development</a:t>
          </a:r>
        </a:p>
      </dgm:t>
    </dgm:pt>
    <dgm:pt modelId="{D8666FAC-442D-471A-94D0-4B2DB3B82CA7}" type="parTrans" cxnId="{CE9A2235-752D-44DA-8676-0B9289A1C30F}">
      <dgm:prSet/>
      <dgm:spPr/>
      <dgm:t>
        <a:bodyPr/>
        <a:lstStyle/>
        <a:p>
          <a:endParaRPr lang="en-GB"/>
        </a:p>
      </dgm:t>
    </dgm:pt>
    <dgm:pt modelId="{C42C03F3-7E56-4AF6-A021-DF33D4CA81A2}" type="sibTrans" cxnId="{CE9A2235-752D-44DA-8676-0B9289A1C30F}">
      <dgm:prSet/>
      <dgm:spPr/>
      <dgm:t>
        <a:bodyPr/>
        <a:lstStyle/>
        <a:p>
          <a:endParaRPr lang="en-GB"/>
        </a:p>
      </dgm:t>
    </dgm:pt>
    <dgm:pt modelId="{5A6C7814-A9B5-424D-B0DF-16F5D1C1AB95}">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Process evaluation</a:t>
          </a:r>
        </a:p>
      </dgm:t>
    </dgm:pt>
    <dgm:pt modelId="{34EB4A35-231A-4C39-A8D9-5DCA9DBA6757}" type="parTrans" cxnId="{298F73D1-7AB0-42BA-A6DA-A77BE60CE644}">
      <dgm:prSet/>
      <dgm:spPr/>
      <dgm:t>
        <a:bodyPr/>
        <a:lstStyle/>
        <a:p>
          <a:endParaRPr lang="en-GB"/>
        </a:p>
      </dgm:t>
    </dgm:pt>
    <dgm:pt modelId="{D0FC4B9B-299E-436C-BD72-DDBD02B19F01}" type="sibTrans" cxnId="{298F73D1-7AB0-42BA-A6DA-A77BE60CE644}">
      <dgm:prSet/>
      <dgm:spPr/>
      <dgm:t>
        <a:bodyPr/>
        <a:lstStyle/>
        <a:p>
          <a:endParaRPr lang="en-GB"/>
        </a:p>
      </dgm:t>
    </dgm:pt>
    <dgm:pt modelId="{17DC53F1-F6E1-4618-BBCB-1DF81F266F8A}">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Initial impact evaluation</a:t>
          </a:r>
        </a:p>
      </dgm:t>
    </dgm:pt>
    <dgm:pt modelId="{00C34E57-D467-407D-AEA9-8CC9DC8203DE}" type="parTrans" cxnId="{E2995E9B-49DA-4C46-9DA3-EC00023E428F}">
      <dgm:prSet/>
      <dgm:spPr/>
      <dgm:t>
        <a:bodyPr/>
        <a:lstStyle/>
        <a:p>
          <a:endParaRPr lang="en-GB"/>
        </a:p>
      </dgm:t>
    </dgm:pt>
    <dgm:pt modelId="{43A81FA3-8D10-4A02-968C-005B79A3B6B2}" type="sibTrans" cxnId="{E2995E9B-49DA-4C46-9DA3-EC00023E428F}">
      <dgm:prSet/>
      <dgm:spPr/>
      <dgm:t>
        <a:bodyPr/>
        <a:lstStyle/>
        <a:p>
          <a:endParaRPr lang="en-GB"/>
        </a:p>
      </dgm:t>
    </dgm:pt>
    <dgm:pt modelId="{D2AC58CD-625F-4555-BAFC-D5C1D215B26B}">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Draft and Final Final Report</a:t>
          </a:r>
        </a:p>
      </dgm:t>
    </dgm:pt>
    <dgm:pt modelId="{20E62C76-1004-495F-ADDB-DE7CA1969A08}" type="parTrans" cxnId="{7EB3D351-7AB0-4160-A6BA-7122DCE10AC3}">
      <dgm:prSet/>
      <dgm:spPr/>
      <dgm:t>
        <a:bodyPr/>
        <a:lstStyle/>
        <a:p>
          <a:endParaRPr lang="en-GB"/>
        </a:p>
      </dgm:t>
    </dgm:pt>
    <dgm:pt modelId="{9E1E923D-67BB-4128-98D1-FCC6C78AA874}" type="sibTrans" cxnId="{7EB3D351-7AB0-4160-A6BA-7122DCE10AC3}">
      <dgm:prSet/>
      <dgm:spPr/>
      <dgm:t>
        <a:bodyPr/>
        <a:lstStyle/>
        <a:p>
          <a:endParaRPr lang="en-GB"/>
        </a:p>
      </dgm:t>
    </dgm:pt>
    <dgm:pt modelId="{A302C113-BFD3-4CF5-9629-ED998281B2D8}">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Presentations</a:t>
          </a:r>
        </a:p>
      </dgm:t>
    </dgm:pt>
    <dgm:pt modelId="{5E1B1394-6CFF-45EC-9C8C-64798316042C}" type="parTrans" cxnId="{DCED4CE9-6A58-4A9D-915B-881E673E5B46}">
      <dgm:prSet/>
      <dgm:spPr/>
      <dgm:t>
        <a:bodyPr/>
        <a:lstStyle/>
        <a:p>
          <a:endParaRPr lang="en-GB"/>
        </a:p>
      </dgm:t>
    </dgm:pt>
    <dgm:pt modelId="{7DD4F628-D0FD-4E25-A005-6C59D542B8A9}" type="sibTrans" cxnId="{DCED4CE9-6A58-4A9D-915B-881E673E5B46}">
      <dgm:prSet/>
      <dgm:spPr/>
      <dgm:t>
        <a:bodyPr/>
        <a:lstStyle/>
        <a:p>
          <a:endParaRPr lang="en-GB"/>
        </a:p>
      </dgm:t>
    </dgm:pt>
    <dgm:pt modelId="{D3AF8D14-496C-4C9C-AB67-4403E9228625}">
      <dgm:prSet/>
      <dgm: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gm:spPr>
      <dgm:t>
        <a:bodyPr/>
        <a:lstStyle/>
        <a:p>
          <a:pPr>
            <a:buChar char="•"/>
          </a:pPr>
          <a:r>
            <a:rPr lang="en-GB">
              <a:solidFill>
                <a:sysClr val="windowText" lastClr="000000">
                  <a:hueOff val="0"/>
                  <a:satOff val="0"/>
                  <a:lumOff val="0"/>
                  <a:alphaOff val="0"/>
                </a:sysClr>
              </a:solidFill>
              <a:latin typeface="Calibri"/>
              <a:ea typeface="+mn-ea"/>
              <a:cs typeface="+mn-cs"/>
            </a:rPr>
            <a:t>Research tool development</a:t>
          </a:r>
        </a:p>
      </dgm:t>
    </dgm:pt>
    <dgm:pt modelId="{757661E9-5249-4FE2-BBD0-142D58B67B96}" type="parTrans" cxnId="{82DA4C8A-44BC-4861-94CF-01BA8A5C8AD0}">
      <dgm:prSet/>
      <dgm:spPr/>
      <dgm:t>
        <a:bodyPr/>
        <a:lstStyle/>
        <a:p>
          <a:endParaRPr lang="en-GB"/>
        </a:p>
      </dgm:t>
    </dgm:pt>
    <dgm:pt modelId="{2718BD57-747E-4097-B012-638FAFEA2E45}" type="sibTrans" cxnId="{82DA4C8A-44BC-4861-94CF-01BA8A5C8AD0}">
      <dgm:prSet/>
      <dgm:spPr/>
      <dgm:t>
        <a:bodyPr/>
        <a:lstStyle/>
        <a:p>
          <a:endParaRPr lang="en-GB"/>
        </a:p>
      </dgm:t>
    </dgm:pt>
    <dgm:pt modelId="{44312226-BD24-4944-99A2-182E0C176797}" type="pres">
      <dgm:prSet presAssocID="{057B1532-4AFE-4E8E-AC67-62B13EAA77B2}" presName="Name0" presStyleCnt="0">
        <dgm:presLayoutVars>
          <dgm:dir/>
          <dgm:animLvl val="lvl"/>
          <dgm:resizeHandles val="exact"/>
        </dgm:presLayoutVars>
      </dgm:prSet>
      <dgm:spPr/>
    </dgm:pt>
    <dgm:pt modelId="{EBEA4B1E-C179-4655-9106-AA2541969DEA}" type="pres">
      <dgm:prSet presAssocID="{BD9D106E-9303-4493-91F3-FB010F801720}" presName="composite" presStyleCnt="0"/>
      <dgm:spPr/>
    </dgm:pt>
    <dgm:pt modelId="{E82C7A97-0FC7-4F76-9C84-03437F7860E7}" type="pres">
      <dgm:prSet presAssocID="{BD9D106E-9303-4493-91F3-FB010F801720}" presName="parTx" presStyleLbl="alignNode1" presStyleIdx="0" presStyleCnt="3">
        <dgm:presLayoutVars>
          <dgm:chMax val="0"/>
          <dgm:chPref val="0"/>
          <dgm:bulletEnabled val="1"/>
        </dgm:presLayoutVars>
      </dgm:prSet>
      <dgm:spPr/>
    </dgm:pt>
    <dgm:pt modelId="{1B00AEF4-916F-4CB7-9B69-4B80899E0050}" type="pres">
      <dgm:prSet presAssocID="{BD9D106E-9303-4493-91F3-FB010F801720}" presName="desTx" presStyleLbl="alignAccFollowNode1" presStyleIdx="0" presStyleCnt="3">
        <dgm:presLayoutVars>
          <dgm:bulletEnabled val="1"/>
        </dgm:presLayoutVars>
      </dgm:prSet>
      <dgm:spPr/>
    </dgm:pt>
    <dgm:pt modelId="{54057DD9-F3B5-4552-9DF6-B9A935CF4B04}" type="pres">
      <dgm:prSet presAssocID="{B0028F5C-59BE-4DE8-ABCD-71A7869BB8C7}" presName="space" presStyleCnt="0"/>
      <dgm:spPr/>
    </dgm:pt>
    <dgm:pt modelId="{CEE3A819-DFCD-4BB1-ABD2-063E18794A13}" type="pres">
      <dgm:prSet presAssocID="{7E1321FA-4931-42F1-A0FE-7795A7BB23A7}" presName="composite" presStyleCnt="0"/>
      <dgm:spPr/>
    </dgm:pt>
    <dgm:pt modelId="{04EC7E9A-1ADA-471D-949A-AECB02DD6F5F}" type="pres">
      <dgm:prSet presAssocID="{7E1321FA-4931-42F1-A0FE-7795A7BB23A7}" presName="parTx" presStyleLbl="alignNode1" presStyleIdx="1" presStyleCnt="3">
        <dgm:presLayoutVars>
          <dgm:chMax val="0"/>
          <dgm:chPref val="0"/>
          <dgm:bulletEnabled val="1"/>
        </dgm:presLayoutVars>
      </dgm:prSet>
      <dgm:spPr/>
    </dgm:pt>
    <dgm:pt modelId="{97CBF7E9-5070-4A59-87A4-2C4BAF66A541}" type="pres">
      <dgm:prSet presAssocID="{7E1321FA-4931-42F1-A0FE-7795A7BB23A7}" presName="desTx" presStyleLbl="alignAccFollowNode1" presStyleIdx="1" presStyleCnt="3">
        <dgm:presLayoutVars>
          <dgm:bulletEnabled val="1"/>
        </dgm:presLayoutVars>
      </dgm:prSet>
      <dgm:spPr/>
    </dgm:pt>
    <dgm:pt modelId="{E217B8ED-3077-42E5-943F-36E17C3B638A}" type="pres">
      <dgm:prSet presAssocID="{FF5D1814-A9A6-44FA-8AC1-876F8CB51D43}" presName="space" presStyleCnt="0"/>
      <dgm:spPr/>
    </dgm:pt>
    <dgm:pt modelId="{67627C06-A217-4C6F-8ABC-E34FCA41C171}" type="pres">
      <dgm:prSet presAssocID="{FABDBB85-5BC3-49E0-9534-56D0A5290878}" presName="composite" presStyleCnt="0"/>
      <dgm:spPr/>
    </dgm:pt>
    <dgm:pt modelId="{F93C5518-6EE1-4C36-B307-311E82FB4470}" type="pres">
      <dgm:prSet presAssocID="{FABDBB85-5BC3-49E0-9534-56D0A5290878}" presName="parTx" presStyleLbl="alignNode1" presStyleIdx="2" presStyleCnt="3">
        <dgm:presLayoutVars>
          <dgm:chMax val="0"/>
          <dgm:chPref val="0"/>
          <dgm:bulletEnabled val="1"/>
        </dgm:presLayoutVars>
      </dgm:prSet>
      <dgm:spPr/>
    </dgm:pt>
    <dgm:pt modelId="{3ED6C260-E02C-458D-AAD7-5C17E2D603EA}" type="pres">
      <dgm:prSet presAssocID="{FABDBB85-5BC3-49E0-9534-56D0A5290878}" presName="desTx" presStyleLbl="alignAccFollowNode1" presStyleIdx="2" presStyleCnt="3">
        <dgm:presLayoutVars>
          <dgm:bulletEnabled val="1"/>
        </dgm:presLayoutVars>
      </dgm:prSet>
      <dgm:spPr/>
    </dgm:pt>
  </dgm:ptLst>
  <dgm:cxnLst>
    <dgm:cxn modelId="{D1211C03-3187-4929-BC31-8B3A743A2363}" type="presOf" srcId="{DF5471BC-369D-48AD-A0F8-FD8813D1A173}" destId="{3ED6C260-E02C-458D-AAD7-5C17E2D603EA}" srcOrd="0" destOrd="5" presId="urn:microsoft.com/office/officeart/2005/8/layout/hList1"/>
    <dgm:cxn modelId="{D3B64807-55E0-47AE-A571-D0F53C2459EC}" type="presOf" srcId="{6205CB05-80B9-422E-B0A0-FAB990E88A4D}" destId="{3ED6C260-E02C-458D-AAD7-5C17E2D603EA}" srcOrd="0" destOrd="6" presId="urn:microsoft.com/office/officeart/2005/8/layout/hList1"/>
    <dgm:cxn modelId="{7A2AEE09-3C52-41DE-AE78-A905A36EA58A}" type="presOf" srcId="{A43885A4-9361-4C9E-9F9B-C42ADCA45A26}" destId="{1B00AEF4-916F-4CB7-9B69-4B80899E0050}" srcOrd="0" destOrd="2" presId="urn:microsoft.com/office/officeart/2005/8/layout/hList1"/>
    <dgm:cxn modelId="{986F390A-CBD6-4B3A-BD9F-0701750C7F4A}" srcId="{BD9D106E-9303-4493-91F3-FB010F801720}" destId="{89455583-4AA3-4EBC-A2B9-114B9ED68B31}" srcOrd="4" destOrd="0" parTransId="{8AD0D599-F6A8-40C3-B31F-8D97231485F6}" sibTransId="{01D5D44A-3FB9-471B-ABEA-29349B1C769F}"/>
    <dgm:cxn modelId="{E021140F-E234-47EC-9E62-0B8E43F4BF60}" type="presOf" srcId="{176D9C14-E15F-4D34-A969-9CD73074896A}" destId="{1B00AEF4-916F-4CB7-9B69-4B80899E0050}" srcOrd="0" destOrd="5" presId="urn:microsoft.com/office/officeart/2005/8/layout/hList1"/>
    <dgm:cxn modelId="{A3AC2710-8685-4890-A9C0-203B587091D6}" srcId="{BD9D106E-9303-4493-91F3-FB010F801720}" destId="{850F70CE-CCB6-4313-B219-A48931A832CE}" srcOrd="0" destOrd="0" parTransId="{C2B71064-457D-4584-82EC-9EC879EE41E1}" sibTransId="{2E00195C-0B90-49E4-854B-73D35F3DDB20}"/>
    <dgm:cxn modelId="{DA4D1814-48AC-47B0-BB4E-AAE3159B3D77}" type="presOf" srcId="{D2AC58CD-625F-4555-BAFC-D5C1D215B26B}" destId="{3ED6C260-E02C-458D-AAD7-5C17E2D603EA}" srcOrd="0" destOrd="9" presId="urn:microsoft.com/office/officeart/2005/8/layout/hList1"/>
    <dgm:cxn modelId="{8B7E1D17-5F97-4768-8927-9444B6CD8876}" type="presOf" srcId="{C17090CE-21ED-44F1-84D8-A9A27E1178F3}" destId="{97CBF7E9-5070-4A59-87A4-2C4BAF66A541}" srcOrd="0" destOrd="0" presId="urn:microsoft.com/office/officeart/2005/8/layout/hList1"/>
    <dgm:cxn modelId="{086A851F-C806-4E97-B256-873E50F3F588}" srcId="{FABDBB85-5BC3-49E0-9534-56D0A5290878}" destId="{40A6F4AE-FC60-498A-80A1-34C077C5609B}" srcOrd="3" destOrd="0" parTransId="{C5375D25-6885-4A8D-8213-9389BB8FE079}" sibTransId="{7D177460-88FF-4E3F-9455-FDC2F0181058}"/>
    <dgm:cxn modelId="{04534D28-D364-427E-A689-398ED34E0E34}" type="presOf" srcId="{B5079788-27B7-45CB-8538-65D71CD7623D}" destId="{97CBF7E9-5070-4A59-87A4-2C4BAF66A541}" srcOrd="0" destOrd="8" presId="urn:microsoft.com/office/officeart/2005/8/layout/hList1"/>
    <dgm:cxn modelId="{CE9A2235-752D-44DA-8676-0B9289A1C30F}" srcId="{FABDBB85-5BC3-49E0-9534-56D0A5290878}" destId="{6205CB05-80B9-422E-B0A0-FAB990E88A4D}" srcOrd="6" destOrd="0" parTransId="{D8666FAC-442D-471A-94D0-4B2DB3B82CA7}" sibTransId="{C42C03F3-7E56-4AF6-A021-DF33D4CA81A2}"/>
    <dgm:cxn modelId="{C93FD437-7BBA-439D-8AD8-03E4045ACCA3}" srcId="{7E1321FA-4931-42F1-A0FE-7795A7BB23A7}" destId="{A67B7F6F-A401-4A1E-8285-E558EEE7D0A8}" srcOrd="4" destOrd="0" parTransId="{17BFFD76-5AF9-4E90-B8AE-9941C607EB5D}" sibTransId="{A426E9A5-79E0-4A45-A5D0-D4A5CC7DE655}"/>
    <dgm:cxn modelId="{C104E239-089F-4489-9C5E-7C2C5301D690}" srcId="{7E1321FA-4931-42F1-A0FE-7795A7BB23A7}" destId="{12E75933-E687-4A76-84B8-4478E681BB43}" srcOrd="6" destOrd="0" parTransId="{E92D870E-3BDD-4AFB-81DE-3096CEE67A2E}" sibTransId="{5C9A53CF-5A3E-4E0F-A8FC-B02364A41CC7}"/>
    <dgm:cxn modelId="{AE485E3A-26BE-41CE-8203-9FD7BF675975}" srcId="{FABDBB85-5BC3-49E0-9534-56D0A5290878}" destId="{9B654C32-D57C-4663-AEB9-F7CAA793D715}" srcOrd="4" destOrd="0" parTransId="{ACA10103-44C3-4E51-9215-B821D80A266B}" sibTransId="{2D819848-9D6B-43F4-89FC-3B49442314FB}"/>
    <dgm:cxn modelId="{F810F73A-7E2E-4B1E-A54C-0579514ADFA9}" type="presOf" srcId="{B0B0D5D4-7D03-4626-B09C-D042F466F81D}" destId="{97CBF7E9-5070-4A59-87A4-2C4BAF66A541}" srcOrd="0" destOrd="2" presId="urn:microsoft.com/office/officeart/2005/8/layout/hList1"/>
    <dgm:cxn modelId="{93F1D53C-4D5D-4E6A-8FE5-F51F1284BC27}" srcId="{BD9D106E-9303-4493-91F3-FB010F801720}" destId="{8DBB9D30-EA5E-4865-ADF5-1F47CE1732F5}" srcOrd="1" destOrd="0" parTransId="{38E0DFA1-2FF7-4330-ABEE-7A9F94381E79}" sibTransId="{C907C6A7-20BF-4F3A-8C44-98C561243866}"/>
    <dgm:cxn modelId="{8C1B023D-AACD-4969-9A53-4F9DCEEE4867}" srcId="{7E1321FA-4931-42F1-A0FE-7795A7BB23A7}" destId="{B0B0D5D4-7D03-4626-B09C-D042F466F81D}" srcOrd="2" destOrd="0" parTransId="{8F16427F-C286-4126-8BBA-98F9C18CD73F}" sibTransId="{A7A9ACA9-AADC-426E-8043-231A8B11C821}"/>
    <dgm:cxn modelId="{7DAB0E3D-7C7D-4F8F-9599-7F1CF9766AE7}" srcId="{FABDBB85-5BC3-49E0-9534-56D0A5290878}" destId="{A4173CEE-70ED-4562-85FF-624A2CD75679}" srcOrd="1" destOrd="0" parTransId="{146BE174-23FB-4885-802F-B4182D84AC94}" sibTransId="{1F543F30-1100-4CEF-A51B-C3A2EE062FFD}"/>
    <dgm:cxn modelId="{34951F45-FAC9-49EF-B4BB-4669B90953EB}" srcId="{057B1532-4AFE-4E8E-AC67-62B13EAA77B2}" destId="{FABDBB85-5BC3-49E0-9534-56D0A5290878}" srcOrd="2" destOrd="0" parTransId="{41F73EAB-A0CA-4BB0-BE7D-467748859EED}" sibTransId="{FDB8B970-C675-4BEB-8753-ADF69A1EB54E}"/>
    <dgm:cxn modelId="{478E4A68-B88D-4BA1-9F0F-872A57F1769B}" srcId="{BD9D106E-9303-4493-91F3-FB010F801720}" destId="{4368559F-9210-4AF0-8DB8-D6B02C2CCF1E}" srcOrd="3" destOrd="0" parTransId="{5B78F07A-0F2A-4B50-8F2A-8D5E41E1A0B8}" sibTransId="{CCB1C01D-E583-4CB6-9301-CEBDD48D6C92}"/>
    <dgm:cxn modelId="{5455AE6A-24B7-40B1-8135-0E5CC309160E}" srcId="{BD9D106E-9303-4493-91F3-FB010F801720}" destId="{A43885A4-9361-4C9E-9F9B-C42ADCA45A26}" srcOrd="2" destOrd="0" parTransId="{3A415E5F-3597-41FC-9670-27A7DA7B048F}" sibTransId="{EC0B2166-79FE-48ED-874F-50B5506751DE}"/>
    <dgm:cxn modelId="{5C115E4C-A69E-4675-9297-E88041FC7F9E}" type="presOf" srcId="{C8FA5998-8673-438A-801E-DAE2C3B97A53}" destId="{97CBF7E9-5070-4A59-87A4-2C4BAF66A541}" srcOrd="0" destOrd="1" presId="urn:microsoft.com/office/officeart/2005/8/layout/hList1"/>
    <dgm:cxn modelId="{24DC7F6C-434B-4A5A-9F71-73C9A8FA1580}" srcId="{FABDBB85-5BC3-49E0-9534-56D0A5290878}" destId="{DF5471BC-369D-48AD-A0F8-FD8813D1A173}" srcOrd="5" destOrd="0" parTransId="{10997DB8-DE99-48CA-AFF7-1E0FEE0393EA}" sibTransId="{7A8D161A-A86C-4138-B025-4741AE87B508}"/>
    <dgm:cxn modelId="{84AB9670-9351-44BA-8801-14D92CEFF46E}" type="presOf" srcId="{5659E371-36AC-4167-B4C4-A0964416C113}" destId="{1B00AEF4-916F-4CB7-9B69-4B80899E0050}" srcOrd="0" destOrd="7" presId="urn:microsoft.com/office/officeart/2005/8/layout/hList1"/>
    <dgm:cxn modelId="{10F49750-0D06-4836-B068-17F4A76E2C4B}" srcId="{7E1321FA-4931-42F1-A0FE-7795A7BB23A7}" destId="{C17090CE-21ED-44F1-84D8-A9A27E1178F3}" srcOrd="0" destOrd="0" parTransId="{8016467A-24F6-49AB-9DAB-2A3B5D750480}" sibTransId="{091D3BE8-FA6B-4BE2-96E7-4C2F3AE5391E}"/>
    <dgm:cxn modelId="{9D6E2971-A52D-419D-BFF3-38E36B5D27A6}" type="presOf" srcId="{A302C113-BFD3-4CF5-9629-ED998281B2D8}" destId="{3ED6C260-E02C-458D-AAD7-5C17E2D603EA}" srcOrd="0" destOrd="10" presId="urn:microsoft.com/office/officeart/2005/8/layout/hList1"/>
    <dgm:cxn modelId="{7EB3D351-7AB0-4160-A6BA-7122DCE10AC3}" srcId="{FABDBB85-5BC3-49E0-9534-56D0A5290878}" destId="{D2AC58CD-625F-4555-BAFC-D5C1D215B26B}" srcOrd="9" destOrd="0" parTransId="{20E62C76-1004-495F-ADDB-DE7CA1969A08}" sibTransId="{9E1E923D-67BB-4128-98D1-FCC6C78AA874}"/>
    <dgm:cxn modelId="{257E7754-B798-442E-B6B6-4177D3B4A586}" type="presOf" srcId="{40A6F4AE-FC60-498A-80A1-34C077C5609B}" destId="{3ED6C260-E02C-458D-AAD7-5C17E2D603EA}" srcOrd="0" destOrd="3" presId="urn:microsoft.com/office/officeart/2005/8/layout/hList1"/>
    <dgm:cxn modelId="{9C8FAB75-254E-4A58-A2BA-9EE0117AD429}" type="presOf" srcId="{9B654C32-D57C-4663-AEB9-F7CAA793D715}" destId="{3ED6C260-E02C-458D-AAD7-5C17E2D603EA}" srcOrd="0" destOrd="4" presId="urn:microsoft.com/office/officeart/2005/8/layout/hList1"/>
    <dgm:cxn modelId="{59A95C57-4961-4354-B7BA-C3F9A6009FFE}" type="presOf" srcId="{D2B5FD8D-2B24-4068-91B3-C9FE248BAD78}" destId="{3ED6C260-E02C-458D-AAD7-5C17E2D603EA}" srcOrd="0" destOrd="0" presId="urn:microsoft.com/office/officeart/2005/8/layout/hList1"/>
    <dgm:cxn modelId="{11B73579-7862-416A-978D-A4290D26BE8E}" srcId="{057B1532-4AFE-4E8E-AC67-62B13EAA77B2}" destId="{7E1321FA-4931-42F1-A0FE-7795A7BB23A7}" srcOrd="1" destOrd="0" parTransId="{C4FDD557-11ED-4DC5-B050-D6884AD036EC}" sibTransId="{FF5D1814-A9A6-44FA-8AC1-876F8CB51D43}"/>
    <dgm:cxn modelId="{E83EDA59-0E28-4D22-A332-420EA76FBD18}" srcId="{7E1321FA-4931-42F1-A0FE-7795A7BB23A7}" destId="{98A94B2B-E6F4-4C50-A987-26FA727F8E20}" srcOrd="3" destOrd="0" parTransId="{AE311D5C-5EC7-4FBA-8E13-B03B169250AC}" sibTransId="{F259EEB6-4A74-4B95-ABA2-620DFD69EA60}"/>
    <dgm:cxn modelId="{6DC7F77D-379F-46BB-A56D-4CECF04717BE}" type="presOf" srcId="{057B1532-4AFE-4E8E-AC67-62B13EAA77B2}" destId="{44312226-BD24-4944-99A2-182E0C176797}" srcOrd="0" destOrd="0" presId="urn:microsoft.com/office/officeart/2005/8/layout/hList1"/>
    <dgm:cxn modelId="{39B73B7F-A34B-4360-9C5A-164B3EE6EF46}" type="presOf" srcId="{8DBB9D30-EA5E-4865-ADF5-1F47CE1732F5}" destId="{1B00AEF4-916F-4CB7-9B69-4B80899E0050}" srcOrd="0" destOrd="1" presId="urn:microsoft.com/office/officeart/2005/8/layout/hList1"/>
    <dgm:cxn modelId="{937B3680-40B0-4FAE-A56D-96C838F24A00}" type="presOf" srcId="{4368559F-9210-4AF0-8DB8-D6B02C2CCF1E}" destId="{1B00AEF4-916F-4CB7-9B69-4B80899E0050}" srcOrd="0" destOrd="3" presId="urn:microsoft.com/office/officeart/2005/8/layout/hList1"/>
    <dgm:cxn modelId="{840E1584-D925-4F45-93EA-D4142A3B0DC4}" type="presOf" srcId="{F69162F8-623E-43B8-9DBB-E453098142E5}" destId="{97CBF7E9-5070-4A59-87A4-2C4BAF66A541}" srcOrd="0" destOrd="5" presId="urn:microsoft.com/office/officeart/2005/8/layout/hList1"/>
    <dgm:cxn modelId="{ECC07684-2EB8-4CAC-8B32-CD6913C8010D}" type="presOf" srcId="{9422C213-DF54-4F8C-8462-61D6C386D728}" destId="{97CBF7E9-5070-4A59-87A4-2C4BAF66A541}" srcOrd="0" destOrd="9" presId="urn:microsoft.com/office/officeart/2005/8/layout/hList1"/>
    <dgm:cxn modelId="{8C246887-635B-4122-B8D7-6D516908B5BA}" type="presOf" srcId="{17DC53F1-F6E1-4618-BBCB-1DF81F266F8A}" destId="{3ED6C260-E02C-458D-AAD7-5C17E2D603EA}" srcOrd="0" destOrd="8" presId="urn:microsoft.com/office/officeart/2005/8/layout/hList1"/>
    <dgm:cxn modelId="{82DA4C8A-44BC-4861-94CF-01BA8A5C8AD0}" srcId="{FABDBB85-5BC3-49E0-9534-56D0A5290878}" destId="{D3AF8D14-496C-4C9C-AB67-4403E9228625}" srcOrd="2" destOrd="0" parTransId="{757661E9-5249-4FE2-BBD0-142D58B67B96}" sibTransId="{2718BD57-747E-4097-B012-638FAFEA2E45}"/>
    <dgm:cxn modelId="{D85BCF8E-1901-41E8-B94B-644E964566E5}" srcId="{7E1321FA-4931-42F1-A0FE-7795A7BB23A7}" destId="{F69162F8-623E-43B8-9DBB-E453098142E5}" srcOrd="5" destOrd="0" parTransId="{34B623CF-E7B5-47A2-9D8C-FAD967678217}" sibTransId="{00E707A2-FE24-4D27-B13F-FC67B3295516}"/>
    <dgm:cxn modelId="{411D3494-A422-483A-B209-6857C2BF7DBB}" srcId="{7E1321FA-4931-42F1-A0FE-7795A7BB23A7}" destId="{B5079788-27B7-45CB-8538-65D71CD7623D}" srcOrd="8" destOrd="0" parTransId="{67F841A2-956B-4BB8-9EB0-6716136B54EC}" sibTransId="{627F21A5-9259-44E4-9025-F44D5227434F}"/>
    <dgm:cxn modelId="{C1927D95-641A-4BC0-AB2C-1D5BE98A4138}" srcId="{7E1321FA-4931-42F1-A0FE-7795A7BB23A7}" destId="{9422C213-DF54-4F8C-8462-61D6C386D728}" srcOrd="9" destOrd="0" parTransId="{6A7558C7-F878-42CE-8E9A-C2CE0BB9B10E}" sibTransId="{0C7406D4-9015-4278-8A4C-902351B2FC46}"/>
    <dgm:cxn modelId="{4033FE99-A5C1-490B-B83B-7BED246AA7CB}" srcId="{057B1532-4AFE-4E8E-AC67-62B13EAA77B2}" destId="{BD9D106E-9303-4493-91F3-FB010F801720}" srcOrd="0" destOrd="0" parTransId="{CDC1B477-75E9-4DE5-9025-92115FF2AB72}" sibTransId="{B0028F5C-59BE-4DE8-ABCD-71A7869BB8C7}"/>
    <dgm:cxn modelId="{E2995E9B-49DA-4C46-9DA3-EC00023E428F}" srcId="{FABDBB85-5BC3-49E0-9534-56D0A5290878}" destId="{17DC53F1-F6E1-4618-BBCB-1DF81F266F8A}" srcOrd="8" destOrd="0" parTransId="{00C34E57-D467-407D-AEA9-8CC9DC8203DE}" sibTransId="{43A81FA3-8D10-4A02-968C-005B79A3B6B2}"/>
    <dgm:cxn modelId="{7674A79D-4B97-4AE2-A5DB-A78D9CD8B019}" srcId="{FABDBB85-5BC3-49E0-9534-56D0A5290878}" destId="{D2B5FD8D-2B24-4068-91B3-C9FE248BAD78}" srcOrd="0" destOrd="0" parTransId="{7D65F8D6-E948-40FC-824B-7A9E3297C962}" sibTransId="{EDF81A6B-92C3-4B1C-BA81-428E457DF7B1}"/>
    <dgm:cxn modelId="{1D39549E-BC24-4EFA-8DD3-6A4D14F27585}" type="presOf" srcId="{5A6C7814-A9B5-424D-B0DF-16F5D1C1AB95}" destId="{3ED6C260-E02C-458D-AAD7-5C17E2D603EA}" srcOrd="0" destOrd="7" presId="urn:microsoft.com/office/officeart/2005/8/layout/hList1"/>
    <dgm:cxn modelId="{392937A2-5F64-4D03-BC1A-AB7D11DF3A07}" srcId="{7E1321FA-4931-42F1-A0FE-7795A7BB23A7}" destId="{C8FA5998-8673-438A-801E-DAE2C3B97A53}" srcOrd="1" destOrd="0" parTransId="{D2044D23-D13E-49EA-8505-59B83A15A34A}" sibTransId="{2F27577F-3A09-43B0-B1B5-E67844DBD12F}"/>
    <dgm:cxn modelId="{B9F24EA8-6DF5-4DAB-B42E-6B73F3293489}" type="presOf" srcId="{B0BFA212-7349-49F5-94DE-A5018A113882}" destId="{1B00AEF4-916F-4CB7-9B69-4B80899E0050}" srcOrd="0" destOrd="6" presId="urn:microsoft.com/office/officeart/2005/8/layout/hList1"/>
    <dgm:cxn modelId="{B5D8D3B3-8BDE-481B-9B69-3F9A48A15130}" srcId="{BD9D106E-9303-4493-91F3-FB010F801720}" destId="{5659E371-36AC-4167-B4C4-A0964416C113}" srcOrd="7" destOrd="0" parTransId="{89B57AA8-F39E-4647-BECD-AA4D2DFACC66}" sibTransId="{3C62E67E-B058-4148-B4DA-61D8C7686934}"/>
    <dgm:cxn modelId="{2444C9B8-7E6D-4495-9515-433182440C2B}" srcId="{BD9D106E-9303-4493-91F3-FB010F801720}" destId="{176D9C14-E15F-4D34-A969-9CD73074896A}" srcOrd="5" destOrd="0" parTransId="{B4A09298-2075-4534-8F5F-CFEE119366F3}" sibTransId="{71D697EF-5B88-4EA6-B09C-B5CFA2147225}"/>
    <dgm:cxn modelId="{E84DCCBB-52AA-4154-8C34-E8904F9107D1}" type="presOf" srcId="{12E75933-E687-4A76-84B8-4478E681BB43}" destId="{97CBF7E9-5070-4A59-87A4-2C4BAF66A541}" srcOrd="0" destOrd="6" presId="urn:microsoft.com/office/officeart/2005/8/layout/hList1"/>
    <dgm:cxn modelId="{C7E865C1-1B95-493F-ACB0-63D748B0F574}" type="presOf" srcId="{D3AF8D14-496C-4C9C-AB67-4403E9228625}" destId="{3ED6C260-E02C-458D-AAD7-5C17E2D603EA}" srcOrd="0" destOrd="2" presId="urn:microsoft.com/office/officeart/2005/8/layout/hList1"/>
    <dgm:cxn modelId="{41CBFDC9-6102-4647-B90E-2971AC48649E}" type="presOf" srcId="{FABDBB85-5BC3-49E0-9534-56D0A5290878}" destId="{F93C5518-6EE1-4C36-B307-311E82FB4470}" srcOrd="0" destOrd="0" presId="urn:microsoft.com/office/officeart/2005/8/layout/hList1"/>
    <dgm:cxn modelId="{A0585ECA-119B-4227-A7F3-0DAA0EA60AAF}" type="presOf" srcId="{BD9D106E-9303-4493-91F3-FB010F801720}" destId="{E82C7A97-0FC7-4F76-9C84-03437F7860E7}" srcOrd="0" destOrd="0" presId="urn:microsoft.com/office/officeart/2005/8/layout/hList1"/>
    <dgm:cxn modelId="{85BADACE-BEA0-48F7-B6F5-4099BE6738C5}" type="presOf" srcId="{850F70CE-CCB6-4313-B219-A48931A832CE}" destId="{1B00AEF4-916F-4CB7-9B69-4B80899E0050}" srcOrd="0" destOrd="0" presId="urn:microsoft.com/office/officeart/2005/8/layout/hList1"/>
    <dgm:cxn modelId="{298F73D1-7AB0-42BA-A6DA-A77BE60CE644}" srcId="{FABDBB85-5BC3-49E0-9534-56D0A5290878}" destId="{5A6C7814-A9B5-424D-B0DF-16F5D1C1AB95}" srcOrd="7" destOrd="0" parTransId="{34EB4A35-231A-4C39-A8D9-5DCA9DBA6757}" sibTransId="{D0FC4B9B-299E-436C-BD72-DDBD02B19F01}"/>
    <dgm:cxn modelId="{0DC57DD2-B20D-4C6B-8A62-88024E1800C2}" srcId="{BD9D106E-9303-4493-91F3-FB010F801720}" destId="{B0BFA212-7349-49F5-94DE-A5018A113882}" srcOrd="6" destOrd="0" parTransId="{43535401-D66C-48A0-9DE3-0317B79FA555}" sibTransId="{9E990215-6EA1-4192-A488-234097E3681E}"/>
    <dgm:cxn modelId="{C11234D6-6623-404F-A126-FA41119EF0F5}" type="presOf" srcId="{89455583-4AA3-4EBC-A2B9-114B9ED68B31}" destId="{1B00AEF4-916F-4CB7-9B69-4B80899E0050}" srcOrd="0" destOrd="4" presId="urn:microsoft.com/office/officeart/2005/8/layout/hList1"/>
    <dgm:cxn modelId="{3EEC1EDA-9EB9-4704-998C-A2207D1D745E}" srcId="{BD9D106E-9303-4493-91F3-FB010F801720}" destId="{5F6311DE-C859-4974-920D-A34BE2AE90AC}" srcOrd="8" destOrd="0" parTransId="{B6BE44E0-4ED8-4A92-B076-091B0D982A05}" sibTransId="{B2D5EE5F-B2B4-4FEB-A9B6-9A25FF0920E2}"/>
    <dgm:cxn modelId="{3A78CBDA-9836-4C9E-8CC9-67A2DAA3B980}" type="presOf" srcId="{7E1321FA-4931-42F1-A0FE-7795A7BB23A7}" destId="{04EC7E9A-1ADA-471D-949A-AECB02DD6F5F}" srcOrd="0" destOrd="0" presId="urn:microsoft.com/office/officeart/2005/8/layout/hList1"/>
    <dgm:cxn modelId="{68BADBDA-6EBC-4A4B-A26D-DB7EAFB2760F}" srcId="{7E1321FA-4931-42F1-A0FE-7795A7BB23A7}" destId="{83DF9AA5-46AC-44A0-8D4A-7278AB4E0547}" srcOrd="7" destOrd="0" parTransId="{374BB7AD-C6D7-43CB-93AA-2DB5533E36E4}" sibTransId="{00BFDC84-C9DB-42F7-8ED6-A52A9A9BA987}"/>
    <dgm:cxn modelId="{68B644DF-017A-41F7-B506-9F412C4D8330}" type="presOf" srcId="{A4173CEE-70ED-4562-85FF-624A2CD75679}" destId="{3ED6C260-E02C-458D-AAD7-5C17E2D603EA}" srcOrd="0" destOrd="1" presId="urn:microsoft.com/office/officeart/2005/8/layout/hList1"/>
    <dgm:cxn modelId="{FF9536E3-0FE0-4661-BDD8-AD0CD2C535B0}" type="presOf" srcId="{83DF9AA5-46AC-44A0-8D4A-7278AB4E0547}" destId="{97CBF7E9-5070-4A59-87A4-2C4BAF66A541}" srcOrd="0" destOrd="7" presId="urn:microsoft.com/office/officeart/2005/8/layout/hList1"/>
    <dgm:cxn modelId="{DCED4CE9-6A58-4A9D-915B-881E673E5B46}" srcId="{FABDBB85-5BC3-49E0-9534-56D0A5290878}" destId="{A302C113-BFD3-4CF5-9629-ED998281B2D8}" srcOrd="10" destOrd="0" parTransId="{5E1B1394-6CFF-45EC-9C8C-64798316042C}" sibTransId="{7DD4F628-D0FD-4E25-A005-6C59D542B8A9}"/>
    <dgm:cxn modelId="{E4B8ABEB-CB39-4106-A38A-3577E849434E}" type="presOf" srcId="{5F6311DE-C859-4974-920D-A34BE2AE90AC}" destId="{1B00AEF4-916F-4CB7-9B69-4B80899E0050}" srcOrd="0" destOrd="8" presId="urn:microsoft.com/office/officeart/2005/8/layout/hList1"/>
    <dgm:cxn modelId="{29DAB1EE-8B54-4950-9351-59C237565252}" type="presOf" srcId="{A67B7F6F-A401-4A1E-8285-E558EEE7D0A8}" destId="{97CBF7E9-5070-4A59-87A4-2C4BAF66A541}" srcOrd="0" destOrd="4" presId="urn:microsoft.com/office/officeart/2005/8/layout/hList1"/>
    <dgm:cxn modelId="{39222FFC-3D93-4108-B4F9-3A246C661ECF}" type="presOf" srcId="{98A94B2B-E6F4-4C50-A987-26FA727F8E20}" destId="{97CBF7E9-5070-4A59-87A4-2C4BAF66A541}" srcOrd="0" destOrd="3" presId="urn:microsoft.com/office/officeart/2005/8/layout/hList1"/>
    <dgm:cxn modelId="{1E882BDA-676B-4A70-90BC-2428BB1943BE}" type="presParOf" srcId="{44312226-BD24-4944-99A2-182E0C176797}" destId="{EBEA4B1E-C179-4655-9106-AA2541969DEA}" srcOrd="0" destOrd="0" presId="urn:microsoft.com/office/officeart/2005/8/layout/hList1"/>
    <dgm:cxn modelId="{6745FB1F-C641-4475-9D19-CAF5654FF2EF}" type="presParOf" srcId="{EBEA4B1E-C179-4655-9106-AA2541969DEA}" destId="{E82C7A97-0FC7-4F76-9C84-03437F7860E7}" srcOrd="0" destOrd="0" presId="urn:microsoft.com/office/officeart/2005/8/layout/hList1"/>
    <dgm:cxn modelId="{EDD88FBB-6EE6-47FC-8494-04FFDF5DD8B6}" type="presParOf" srcId="{EBEA4B1E-C179-4655-9106-AA2541969DEA}" destId="{1B00AEF4-916F-4CB7-9B69-4B80899E0050}" srcOrd="1" destOrd="0" presId="urn:microsoft.com/office/officeart/2005/8/layout/hList1"/>
    <dgm:cxn modelId="{7A1A9A48-3770-49BC-86AA-734A2438268E}" type="presParOf" srcId="{44312226-BD24-4944-99A2-182E0C176797}" destId="{54057DD9-F3B5-4552-9DF6-B9A935CF4B04}" srcOrd="1" destOrd="0" presId="urn:microsoft.com/office/officeart/2005/8/layout/hList1"/>
    <dgm:cxn modelId="{639CD07B-FCA0-42F1-BD5C-7FE34AA771EA}" type="presParOf" srcId="{44312226-BD24-4944-99A2-182E0C176797}" destId="{CEE3A819-DFCD-4BB1-ABD2-063E18794A13}" srcOrd="2" destOrd="0" presId="urn:microsoft.com/office/officeart/2005/8/layout/hList1"/>
    <dgm:cxn modelId="{1AE66AC3-9EFB-438C-89D1-D93DF555F9F4}" type="presParOf" srcId="{CEE3A819-DFCD-4BB1-ABD2-063E18794A13}" destId="{04EC7E9A-1ADA-471D-949A-AECB02DD6F5F}" srcOrd="0" destOrd="0" presId="urn:microsoft.com/office/officeart/2005/8/layout/hList1"/>
    <dgm:cxn modelId="{56B145B0-6A81-4C8C-953E-EEEE52957D79}" type="presParOf" srcId="{CEE3A819-DFCD-4BB1-ABD2-063E18794A13}" destId="{97CBF7E9-5070-4A59-87A4-2C4BAF66A541}" srcOrd="1" destOrd="0" presId="urn:microsoft.com/office/officeart/2005/8/layout/hList1"/>
    <dgm:cxn modelId="{F7979DD5-FACF-4D0A-A949-12E32F3FF67A}" type="presParOf" srcId="{44312226-BD24-4944-99A2-182E0C176797}" destId="{E217B8ED-3077-42E5-943F-36E17C3B638A}" srcOrd="3" destOrd="0" presId="urn:microsoft.com/office/officeart/2005/8/layout/hList1"/>
    <dgm:cxn modelId="{4841C857-85AF-402E-8D43-59D20D359BA1}" type="presParOf" srcId="{44312226-BD24-4944-99A2-182E0C176797}" destId="{67627C06-A217-4C6F-8ABC-E34FCA41C171}" srcOrd="4" destOrd="0" presId="urn:microsoft.com/office/officeart/2005/8/layout/hList1"/>
    <dgm:cxn modelId="{CCD406DC-A50D-49B9-8BE5-9E1135C316B9}" type="presParOf" srcId="{67627C06-A217-4C6F-8ABC-E34FCA41C171}" destId="{F93C5518-6EE1-4C36-B307-311E82FB4470}" srcOrd="0" destOrd="0" presId="urn:microsoft.com/office/officeart/2005/8/layout/hList1"/>
    <dgm:cxn modelId="{3F7E7D4D-AB85-4374-A742-0FA39ECC12DC}" type="presParOf" srcId="{67627C06-A217-4C6F-8ABC-E34FCA41C171}" destId="{3ED6C260-E02C-458D-AAD7-5C17E2D603EA}" srcOrd="1" destOrd="0" presId="urn:microsoft.com/office/officeart/2005/8/layout/hLis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53A0C84-CB16-4358-ACA0-0598DBE15D14}" type="doc">
      <dgm:prSet loTypeId="urn:microsoft.com/office/officeart/2005/8/layout/chevronAccent+Icon" loCatId="process" qsTypeId="urn:microsoft.com/office/officeart/2005/8/quickstyle/simple1" qsCatId="simple" csTypeId="urn:microsoft.com/office/officeart/2005/8/colors/accent1_2" csCatId="accent1" phldr="1"/>
      <dgm:spPr/>
    </dgm:pt>
    <dgm:pt modelId="{229756FD-EFD1-4B22-9A9E-C4A2A55316CE}">
      <dgm:prSet phldrT="[Text]" custT="1"/>
      <dgm:spPr>
        <a:xfrm>
          <a:off x="126963" y="233880"/>
          <a:ext cx="1140819" cy="629369"/>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gm:spPr>
      <dgm:t>
        <a:bodyPr/>
        <a:lstStyle/>
        <a:p>
          <a:pPr>
            <a:buNone/>
          </a:pPr>
          <a:r>
            <a:rPr lang="en-GB" sz="800">
              <a:solidFill>
                <a:sysClr val="windowText" lastClr="000000">
                  <a:hueOff val="0"/>
                  <a:satOff val="0"/>
                  <a:lumOff val="0"/>
                  <a:alphaOff val="0"/>
                </a:sysClr>
              </a:solidFill>
              <a:latin typeface="Calibri"/>
              <a:ea typeface="+mn-ea"/>
              <a:cs typeface="+mn-cs"/>
            </a:rPr>
            <a:t>Evidence from each data collection strand is mapped by EQ &amp;  salient themes noted</a:t>
          </a:r>
        </a:p>
      </dgm:t>
    </dgm:pt>
    <dgm:pt modelId="{B4C0613C-456A-43C0-8D4B-94F2C53BA5A9}" type="parTrans" cxnId="{CC429A7A-35BB-41B4-A47B-F66376CAD6AB}">
      <dgm:prSet/>
      <dgm:spPr/>
      <dgm:t>
        <a:bodyPr/>
        <a:lstStyle/>
        <a:p>
          <a:endParaRPr lang="en-GB"/>
        </a:p>
      </dgm:t>
    </dgm:pt>
    <dgm:pt modelId="{EA8990FB-674F-4BA6-8963-A7872F0CAF66}" type="sibTrans" cxnId="{CC429A7A-35BB-41B4-A47B-F66376CAD6AB}">
      <dgm:prSet/>
      <dgm:spPr/>
      <dgm:t>
        <a:bodyPr/>
        <a:lstStyle/>
        <a:p>
          <a:endParaRPr lang="en-GB"/>
        </a:p>
      </dgm:t>
    </dgm:pt>
    <dgm:pt modelId="{F35004A6-79AD-4D0A-A7F2-F000943624D0}">
      <dgm:prSet phldrT="[Text]" custT="1"/>
      <dgm:spPr>
        <a:xfrm>
          <a:off x="1425239" y="211948"/>
          <a:ext cx="1140819" cy="673233"/>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gm:spPr>
      <dgm:t>
        <a:bodyPr/>
        <a:lstStyle/>
        <a:p>
          <a:pPr>
            <a:buNone/>
          </a:pPr>
          <a:r>
            <a:rPr lang="en-GB" sz="800">
              <a:solidFill>
                <a:sysClr val="windowText" lastClr="000000">
                  <a:hueOff val="0"/>
                  <a:satOff val="0"/>
                  <a:lumOff val="0"/>
                  <a:alphaOff val="0"/>
                </a:sysClr>
              </a:solidFill>
              <a:latin typeface="Calibri"/>
              <a:ea typeface="+mn-ea"/>
              <a:cs typeface="+mn-cs"/>
            </a:rPr>
            <a:t>Full evaluation team discusses the most common, unanticipated, interesting themes</a:t>
          </a:r>
        </a:p>
      </dgm:t>
    </dgm:pt>
    <dgm:pt modelId="{5509BA8B-03B0-4EAC-BFFE-3EE2028A2059}" type="parTrans" cxnId="{5E0CC4B4-E8AA-49E5-95CD-BD7B0B3614A4}">
      <dgm:prSet/>
      <dgm:spPr/>
      <dgm:t>
        <a:bodyPr/>
        <a:lstStyle/>
        <a:p>
          <a:endParaRPr lang="en-GB"/>
        </a:p>
      </dgm:t>
    </dgm:pt>
    <dgm:pt modelId="{F00C061F-FA03-44B9-ABA1-A2981242C2A7}" type="sibTrans" cxnId="{5E0CC4B4-E8AA-49E5-95CD-BD7B0B3614A4}">
      <dgm:prSet/>
      <dgm:spPr/>
      <dgm:t>
        <a:bodyPr/>
        <a:lstStyle/>
        <a:p>
          <a:endParaRPr lang="en-GB"/>
        </a:p>
      </dgm:t>
    </dgm:pt>
    <dgm:pt modelId="{5C09A81B-DA2F-4B42-B9B9-745647038E7E}">
      <dgm:prSet phldrT="[Text]" custT="1"/>
      <dgm:spPr>
        <a:xfrm>
          <a:off x="2723515" y="233880"/>
          <a:ext cx="1140819" cy="629369"/>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gm:spPr>
      <dgm:t>
        <a:bodyPr/>
        <a:lstStyle/>
        <a:p>
          <a:pPr>
            <a:buNone/>
          </a:pPr>
          <a:r>
            <a:rPr lang="en-GB" sz="800">
              <a:solidFill>
                <a:sysClr val="windowText" lastClr="000000">
                  <a:hueOff val="0"/>
                  <a:satOff val="0"/>
                  <a:lumOff val="0"/>
                  <a:alphaOff val="0"/>
                </a:sysClr>
              </a:solidFill>
              <a:latin typeface="Calibri"/>
              <a:ea typeface="+mn-ea"/>
              <a:cs typeface="+mn-cs"/>
            </a:rPr>
            <a:t>Together the team begin to develop a narrative</a:t>
          </a:r>
        </a:p>
      </dgm:t>
    </dgm:pt>
    <dgm:pt modelId="{9D7A89A9-0D14-4F8B-BF56-8AE2F0665DD0}" type="parTrans" cxnId="{5F986BF4-4744-4091-8741-DEA00185CE3D}">
      <dgm:prSet/>
      <dgm:spPr/>
      <dgm:t>
        <a:bodyPr/>
        <a:lstStyle/>
        <a:p>
          <a:endParaRPr lang="en-GB"/>
        </a:p>
      </dgm:t>
    </dgm:pt>
    <dgm:pt modelId="{13314EA4-E02C-492B-AABE-A94C76FD27D2}" type="sibTrans" cxnId="{5F986BF4-4744-4091-8741-DEA00185CE3D}">
      <dgm:prSet/>
      <dgm:spPr/>
      <dgm:t>
        <a:bodyPr/>
        <a:lstStyle/>
        <a:p>
          <a:endParaRPr lang="en-GB"/>
        </a:p>
      </dgm:t>
    </dgm:pt>
    <dgm:pt modelId="{110129DC-73F2-4FE2-B2C6-B347FCFE7C40}">
      <dgm:prSet phldrT="[Text]" custT="1"/>
      <dgm:spPr>
        <a:xfrm>
          <a:off x="4021790" y="233880"/>
          <a:ext cx="1140819" cy="629369"/>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gm:spPr>
      <dgm:t>
        <a:bodyPr/>
        <a:lstStyle/>
        <a:p>
          <a:pPr>
            <a:buNone/>
          </a:pPr>
          <a:r>
            <a:rPr lang="en-GB" sz="800">
              <a:solidFill>
                <a:sysClr val="windowText" lastClr="000000">
                  <a:hueOff val="0"/>
                  <a:satOff val="0"/>
                  <a:lumOff val="0"/>
                  <a:alphaOff val="0"/>
                </a:sysClr>
              </a:solidFill>
              <a:latin typeface="Calibri"/>
              <a:ea typeface="+mn-ea"/>
              <a:cs typeface="+mn-cs"/>
            </a:rPr>
            <a:t>Team members are assigned different themes - they triangulate the data from different sources</a:t>
          </a:r>
        </a:p>
      </dgm:t>
    </dgm:pt>
    <dgm:pt modelId="{EE1C3C53-076A-4F0F-9737-85B6F8F824E0}" type="parTrans" cxnId="{9F6B05B5-8BCF-44DC-B460-1CB8F201ADA9}">
      <dgm:prSet/>
      <dgm:spPr/>
      <dgm:t>
        <a:bodyPr/>
        <a:lstStyle/>
        <a:p>
          <a:endParaRPr lang="en-GB"/>
        </a:p>
      </dgm:t>
    </dgm:pt>
    <dgm:pt modelId="{391B4CA7-6E67-49B4-88EB-454139B4CA8B}" type="sibTrans" cxnId="{9F6B05B5-8BCF-44DC-B460-1CB8F201ADA9}">
      <dgm:prSet/>
      <dgm:spPr/>
      <dgm:t>
        <a:bodyPr/>
        <a:lstStyle/>
        <a:p>
          <a:endParaRPr lang="en-GB"/>
        </a:p>
      </dgm:t>
    </dgm:pt>
    <dgm:pt modelId="{284B0ECF-B6EB-4856-B160-688CA33D9275}">
      <dgm:prSet phldrT="[Text]" custT="1"/>
      <dgm:spPr>
        <a:xfrm>
          <a:off x="5246651" y="233880"/>
          <a:ext cx="1140819" cy="629369"/>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gm:spPr>
      <dgm:t>
        <a:bodyPr/>
        <a:lstStyle/>
        <a:p>
          <a:pPr>
            <a:buNone/>
          </a:pPr>
          <a:r>
            <a:rPr lang="en-GB" sz="800">
              <a:solidFill>
                <a:sysClr val="windowText" lastClr="000000">
                  <a:hueOff val="0"/>
                  <a:satOff val="0"/>
                  <a:lumOff val="0"/>
                  <a:alphaOff val="0"/>
                </a:sysClr>
              </a:solidFill>
              <a:latin typeface="Calibri"/>
              <a:ea typeface="+mn-ea"/>
              <a:cs typeface="+mn-cs"/>
            </a:rPr>
            <a:t>The team come together in a final analytical session to agree the final narrative</a:t>
          </a:r>
        </a:p>
      </dgm:t>
    </dgm:pt>
    <dgm:pt modelId="{6B3EC6DA-87C8-47D6-8A13-BAF7C25B0301}" type="parTrans" cxnId="{2D70A6D6-AD1B-4215-91D5-E38691BC52BE}">
      <dgm:prSet/>
      <dgm:spPr/>
      <dgm:t>
        <a:bodyPr/>
        <a:lstStyle/>
        <a:p>
          <a:endParaRPr lang="en-GB"/>
        </a:p>
      </dgm:t>
    </dgm:pt>
    <dgm:pt modelId="{2E1BCA70-8DE8-46BA-85D2-1C484B555100}" type="sibTrans" cxnId="{2D70A6D6-AD1B-4215-91D5-E38691BC52BE}">
      <dgm:prSet/>
      <dgm:spPr/>
      <dgm:t>
        <a:bodyPr/>
        <a:lstStyle/>
        <a:p>
          <a:endParaRPr lang="en-GB"/>
        </a:p>
      </dgm:t>
    </dgm:pt>
    <dgm:pt modelId="{0D761765-44B0-49C6-8B81-3552ECA7A7D8}" type="pres">
      <dgm:prSet presAssocID="{453A0C84-CB16-4358-ACA0-0598DBE15D14}" presName="Name0" presStyleCnt="0">
        <dgm:presLayoutVars>
          <dgm:dir/>
          <dgm:resizeHandles val="exact"/>
        </dgm:presLayoutVars>
      </dgm:prSet>
      <dgm:spPr/>
    </dgm:pt>
    <dgm:pt modelId="{F2B8DDB3-A109-4CFF-B92B-3D4F2866F989}" type="pres">
      <dgm:prSet presAssocID="{229756FD-EFD1-4B22-9A9E-C4A2A55316CE}" presName="composite" presStyleCnt="0"/>
      <dgm:spPr/>
    </dgm:pt>
    <dgm:pt modelId="{A130218C-5656-4B72-A830-FC4F487351C6}" type="pres">
      <dgm:prSet presAssocID="{229756FD-EFD1-4B22-9A9E-C4A2A55316CE}" presName="bgChev" presStyleLbl="node1" presStyleIdx="0" presStyleCnt="5" custScaleY="223251"/>
      <dgm:spPr>
        <a:xfrm>
          <a:off x="958" y="102198"/>
          <a:ext cx="1010925" cy="871163"/>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3D332E77-899A-43DF-9BE0-13FF11E59493}" type="pres">
      <dgm:prSet presAssocID="{229756FD-EFD1-4B22-9A9E-C4A2A55316CE}" presName="txNode" presStyleLbl="fgAcc1" presStyleIdx="0" presStyleCnt="5" custScaleX="133637" custScaleY="161287" custLinFactNeighborY="-22236">
        <dgm:presLayoutVars>
          <dgm:bulletEnabled val="1"/>
        </dgm:presLayoutVars>
      </dgm:prSet>
      <dgm:spPr/>
    </dgm:pt>
    <dgm:pt modelId="{65E7EF5C-4FE7-40F1-BB4B-55BC0B145040}" type="pres">
      <dgm:prSet presAssocID="{EA8990FB-674F-4BA6-8963-A7872F0CAF66}" presName="compositeSpace" presStyleCnt="0"/>
      <dgm:spPr/>
    </dgm:pt>
    <dgm:pt modelId="{42D1EB3E-9414-4145-8742-23A57180AF2A}" type="pres">
      <dgm:prSet presAssocID="{F35004A6-79AD-4D0A-A7F2-F000943624D0}" presName="composite" presStyleCnt="0"/>
      <dgm:spPr/>
    </dgm:pt>
    <dgm:pt modelId="{D0AF11AD-7107-438F-AD63-D266BC8214C9}" type="pres">
      <dgm:prSet presAssocID="{F35004A6-79AD-4D0A-A7F2-F000943624D0}" presName="bgChev" presStyleLbl="node1" presStyleIdx="1" presStyleCnt="5" custScaleY="223251"/>
      <dgm:spPr>
        <a:xfrm>
          <a:off x="1299233" y="102198"/>
          <a:ext cx="1010925" cy="871163"/>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087421E9-FFFE-49E6-8AB1-A2500822A35D}" type="pres">
      <dgm:prSet presAssocID="{F35004A6-79AD-4D0A-A7F2-F000943624D0}" presName="txNode" presStyleLbl="fgAcc1" presStyleIdx="1" presStyleCnt="5" custScaleX="133637" custScaleY="172528" custLinFactNeighborY="-22236">
        <dgm:presLayoutVars>
          <dgm:bulletEnabled val="1"/>
        </dgm:presLayoutVars>
      </dgm:prSet>
      <dgm:spPr/>
    </dgm:pt>
    <dgm:pt modelId="{144B1F4D-0EA3-4551-BDAC-88A7321D1D0A}" type="pres">
      <dgm:prSet presAssocID="{F00C061F-FA03-44B9-ABA1-A2981242C2A7}" presName="compositeSpace" presStyleCnt="0"/>
      <dgm:spPr/>
    </dgm:pt>
    <dgm:pt modelId="{98F4C434-7188-4B85-9427-B674F6395FB0}" type="pres">
      <dgm:prSet presAssocID="{5C09A81B-DA2F-4B42-B9B9-745647038E7E}" presName="composite" presStyleCnt="0"/>
      <dgm:spPr/>
    </dgm:pt>
    <dgm:pt modelId="{A377B9A5-7D60-4DD1-806A-DCA9711F35E5}" type="pres">
      <dgm:prSet presAssocID="{5C09A81B-DA2F-4B42-B9B9-745647038E7E}" presName="bgChev" presStyleLbl="node1" presStyleIdx="2" presStyleCnt="5" custScaleY="223251"/>
      <dgm:spPr>
        <a:xfrm>
          <a:off x="2597509" y="102198"/>
          <a:ext cx="1010925" cy="871163"/>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551C88A4-0CA8-4912-8D33-E60C1EB7D054}" type="pres">
      <dgm:prSet presAssocID="{5C09A81B-DA2F-4B42-B9B9-745647038E7E}" presName="txNode" presStyleLbl="fgAcc1" presStyleIdx="2" presStyleCnt="5" custScaleX="133637" custScaleY="161287" custLinFactNeighborY="-22236">
        <dgm:presLayoutVars>
          <dgm:bulletEnabled val="1"/>
        </dgm:presLayoutVars>
      </dgm:prSet>
      <dgm:spPr/>
    </dgm:pt>
    <dgm:pt modelId="{A2BD7ECD-A0DB-4D6A-BAC8-62FF25ACB06A}" type="pres">
      <dgm:prSet presAssocID="{13314EA4-E02C-492B-AABE-A94C76FD27D2}" presName="compositeSpace" presStyleCnt="0"/>
      <dgm:spPr/>
    </dgm:pt>
    <dgm:pt modelId="{EDE01F4B-8F00-4EF4-AFEF-79ED11E17DB3}" type="pres">
      <dgm:prSet presAssocID="{110129DC-73F2-4FE2-B2C6-B347FCFE7C40}" presName="composite" presStyleCnt="0"/>
      <dgm:spPr/>
    </dgm:pt>
    <dgm:pt modelId="{87156F5D-7D1C-462B-9626-240A0FF42990}" type="pres">
      <dgm:prSet presAssocID="{110129DC-73F2-4FE2-B2C6-B347FCFE7C40}" presName="bgChev" presStyleLbl="node1" presStyleIdx="3" presStyleCnt="5" custScaleY="223251"/>
      <dgm:spPr>
        <a:xfrm>
          <a:off x="3895785" y="102198"/>
          <a:ext cx="1010925" cy="871163"/>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403F3B9B-C165-43DB-A9EC-BECA64B8EFB8}" type="pres">
      <dgm:prSet presAssocID="{110129DC-73F2-4FE2-B2C6-B347FCFE7C40}" presName="txNode" presStyleLbl="fgAcc1" presStyleIdx="3" presStyleCnt="5" custScaleX="133637" custScaleY="161287" custLinFactNeighborY="-22236">
        <dgm:presLayoutVars>
          <dgm:bulletEnabled val="1"/>
        </dgm:presLayoutVars>
      </dgm:prSet>
      <dgm:spPr/>
    </dgm:pt>
    <dgm:pt modelId="{8D16522F-2025-4D18-8FDB-27CEE4B6D467}" type="pres">
      <dgm:prSet presAssocID="{391B4CA7-6E67-49B4-88EB-454139B4CA8B}" presName="compositeSpace" presStyleCnt="0"/>
      <dgm:spPr/>
    </dgm:pt>
    <dgm:pt modelId="{4F4C78F4-482C-4065-9F95-820E127CC722}" type="pres">
      <dgm:prSet presAssocID="{284B0ECF-B6EB-4856-B160-688CA33D9275}" presName="composite" presStyleCnt="0"/>
      <dgm:spPr/>
    </dgm:pt>
    <dgm:pt modelId="{83BC7B93-D3C9-4AB7-8880-B5E412BCFE73}" type="pres">
      <dgm:prSet presAssocID="{284B0ECF-B6EB-4856-B160-688CA33D9275}" presName="bgChev" presStyleLbl="node1" presStyleIdx="4" presStyleCnt="5" custScaleY="223251"/>
      <dgm:spPr>
        <a:xfrm>
          <a:off x="5194061" y="102198"/>
          <a:ext cx="1010925" cy="871163"/>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4FD7E0D9-6FA9-4CBA-9369-064DE73B05AE}" type="pres">
      <dgm:prSet presAssocID="{284B0ECF-B6EB-4856-B160-688CA33D9275}" presName="txNode" presStyleLbl="fgAcc1" presStyleIdx="4" presStyleCnt="5" custScaleX="133637" custScaleY="161287" custLinFactNeighborX="-8600" custLinFactNeighborY="-22236">
        <dgm:presLayoutVars>
          <dgm:bulletEnabled val="1"/>
        </dgm:presLayoutVars>
      </dgm:prSet>
      <dgm:spPr/>
    </dgm:pt>
  </dgm:ptLst>
  <dgm:cxnLst>
    <dgm:cxn modelId="{D94B3B49-E5C8-4E9E-8F07-E15B796DA929}" type="presOf" srcId="{5C09A81B-DA2F-4B42-B9B9-745647038E7E}" destId="{551C88A4-0CA8-4912-8D33-E60C1EB7D054}" srcOrd="0" destOrd="0" presId="urn:microsoft.com/office/officeart/2005/8/layout/chevronAccent+Icon"/>
    <dgm:cxn modelId="{CC429A7A-35BB-41B4-A47B-F66376CAD6AB}" srcId="{453A0C84-CB16-4358-ACA0-0598DBE15D14}" destId="{229756FD-EFD1-4B22-9A9E-C4A2A55316CE}" srcOrd="0" destOrd="0" parTransId="{B4C0613C-456A-43C0-8D4B-94F2C53BA5A9}" sibTransId="{EA8990FB-674F-4BA6-8963-A7872F0CAF66}"/>
    <dgm:cxn modelId="{3DC52387-E3C7-4370-92A6-D62F06DCFD4F}" type="presOf" srcId="{F35004A6-79AD-4D0A-A7F2-F000943624D0}" destId="{087421E9-FFFE-49E6-8AB1-A2500822A35D}" srcOrd="0" destOrd="0" presId="urn:microsoft.com/office/officeart/2005/8/layout/chevronAccent+Icon"/>
    <dgm:cxn modelId="{FB33D7AA-CF1D-49AC-A02D-FDF16DFAE230}" type="presOf" srcId="{229756FD-EFD1-4B22-9A9E-C4A2A55316CE}" destId="{3D332E77-899A-43DF-9BE0-13FF11E59493}" srcOrd="0" destOrd="0" presId="urn:microsoft.com/office/officeart/2005/8/layout/chevronAccent+Icon"/>
    <dgm:cxn modelId="{5E0CC4B4-E8AA-49E5-95CD-BD7B0B3614A4}" srcId="{453A0C84-CB16-4358-ACA0-0598DBE15D14}" destId="{F35004A6-79AD-4D0A-A7F2-F000943624D0}" srcOrd="1" destOrd="0" parTransId="{5509BA8B-03B0-4EAC-BFFE-3EE2028A2059}" sibTransId="{F00C061F-FA03-44B9-ABA1-A2981242C2A7}"/>
    <dgm:cxn modelId="{9F6B05B5-8BCF-44DC-B460-1CB8F201ADA9}" srcId="{453A0C84-CB16-4358-ACA0-0598DBE15D14}" destId="{110129DC-73F2-4FE2-B2C6-B347FCFE7C40}" srcOrd="3" destOrd="0" parTransId="{EE1C3C53-076A-4F0F-9737-85B6F8F824E0}" sibTransId="{391B4CA7-6E67-49B4-88EB-454139B4CA8B}"/>
    <dgm:cxn modelId="{51F33EC3-7332-493D-A5DE-A826D6AD5F23}" type="presOf" srcId="{110129DC-73F2-4FE2-B2C6-B347FCFE7C40}" destId="{403F3B9B-C165-43DB-A9EC-BECA64B8EFB8}" srcOrd="0" destOrd="0" presId="urn:microsoft.com/office/officeart/2005/8/layout/chevronAccent+Icon"/>
    <dgm:cxn modelId="{9C4C89CA-E55A-4FF7-8F5B-08BE583C1D45}" type="presOf" srcId="{453A0C84-CB16-4358-ACA0-0598DBE15D14}" destId="{0D761765-44B0-49C6-8B81-3552ECA7A7D8}" srcOrd="0" destOrd="0" presId="urn:microsoft.com/office/officeart/2005/8/layout/chevronAccent+Icon"/>
    <dgm:cxn modelId="{2D70A6D6-AD1B-4215-91D5-E38691BC52BE}" srcId="{453A0C84-CB16-4358-ACA0-0598DBE15D14}" destId="{284B0ECF-B6EB-4856-B160-688CA33D9275}" srcOrd="4" destOrd="0" parTransId="{6B3EC6DA-87C8-47D6-8A13-BAF7C25B0301}" sibTransId="{2E1BCA70-8DE8-46BA-85D2-1C484B555100}"/>
    <dgm:cxn modelId="{5F986BF4-4744-4091-8741-DEA00185CE3D}" srcId="{453A0C84-CB16-4358-ACA0-0598DBE15D14}" destId="{5C09A81B-DA2F-4B42-B9B9-745647038E7E}" srcOrd="2" destOrd="0" parTransId="{9D7A89A9-0D14-4F8B-BF56-8AE2F0665DD0}" sibTransId="{13314EA4-E02C-492B-AABE-A94C76FD27D2}"/>
    <dgm:cxn modelId="{7A1F9FF7-51EE-4EC4-9F66-3F34A03BA0AB}" type="presOf" srcId="{284B0ECF-B6EB-4856-B160-688CA33D9275}" destId="{4FD7E0D9-6FA9-4CBA-9369-064DE73B05AE}" srcOrd="0" destOrd="0" presId="urn:microsoft.com/office/officeart/2005/8/layout/chevronAccent+Icon"/>
    <dgm:cxn modelId="{01A54A32-17F3-44A0-BE14-F6DD0BC41B58}" type="presParOf" srcId="{0D761765-44B0-49C6-8B81-3552ECA7A7D8}" destId="{F2B8DDB3-A109-4CFF-B92B-3D4F2866F989}" srcOrd="0" destOrd="0" presId="urn:microsoft.com/office/officeart/2005/8/layout/chevronAccent+Icon"/>
    <dgm:cxn modelId="{49429DE4-F00B-4F8A-B6D7-E667EAE21689}" type="presParOf" srcId="{F2B8DDB3-A109-4CFF-B92B-3D4F2866F989}" destId="{A130218C-5656-4B72-A830-FC4F487351C6}" srcOrd="0" destOrd="0" presId="urn:microsoft.com/office/officeart/2005/8/layout/chevronAccent+Icon"/>
    <dgm:cxn modelId="{26CF2098-68E6-40B9-B9D6-C2F27C1A4023}" type="presParOf" srcId="{F2B8DDB3-A109-4CFF-B92B-3D4F2866F989}" destId="{3D332E77-899A-43DF-9BE0-13FF11E59493}" srcOrd="1" destOrd="0" presId="urn:microsoft.com/office/officeart/2005/8/layout/chevronAccent+Icon"/>
    <dgm:cxn modelId="{ED909157-F5DD-4716-AB9B-9106224F906F}" type="presParOf" srcId="{0D761765-44B0-49C6-8B81-3552ECA7A7D8}" destId="{65E7EF5C-4FE7-40F1-BB4B-55BC0B145040}" srcOrd="1" destOrd="0" presId="urn:microsoft.com/office/officeart/2005/8/layout/chevronAccent+Icon"/>
    <dgm:cxn modelId="{024E6A30-64B8-4E08-8C00-795FAA3A942D}" type="presParOf" srcId="{0D761765-44B0-49C6-8B81-3552ECA7A7D8}" destId="{42D1EB3E-9414-4145-8742-23A57180AF2A}" srcOrd="2" destOrd="0" presId="urn:microsoft.com/office/officeart/2005/8/layout/chevronAccent+Icon"/>
    <dgm:cxn modelId="{CED03BA0-85FD-4687-9FA2-380716C99C5E}" type="presParOf" srcId="{42D1EB3E-9414-4145-8742-23A57180AF2A}" destId="{D0AF11AD-7107-438F-AD63-D266BC8214C9}" srcOrd="0" destOrd="0" presId="urn:microsoft.com/office/officeart/2005/8/layout/chevronAccent+Icon"/>
    <dgm:cxn modelId="{42F0837A-04A7-477C-B5FC-0CF98293CE5E}" type="presParOf" srcId="{42D1EB3E-9414-4145-8742-23A57180AF2A}" destId="{087421E9-FFFE-49E6-8AB1-A2500822A35D}" srcOrd="1" destOrd="0" presId="urn:microsoft.com/office/officeart/2005/8/layout/chevronAccent+Icon"/>
    <dgm:cxn modelId="{B54AD0B8-A1B4-46CC-BB50-93546E38D7AC}" type="presParOf" srcId="{0D761765-44B0-49C6-8B81-3552ECA7A7D8}" destId="{144B1F4D-0EA3-4551-BDAC-88A7321D1D0A}" srcOrd="3" destOrd="0" presId="urn:microsoft.com/office/officeart/2005/8/layout/chevronAccent+Icon"/>
    <dgm:cxn modelId="{EA27D3E2-433B-4D35-B150-FC9EA5381058}" type="presParOf" srcId="{0D761765-44B0-49C6-8B81-3552ECA7A7D8}" destId="{98F4C434-7188-4B85-9427-B674F6395FB0}" srcOrd="4" destOrd="0" presId="urn:microsoft.com/office/officeart/2005/8/layout/chevronAccent+Icon"/>
    <dgm:cxn modelId="{2D48E406-0112-40CB-89D9-DEA73CA84907}" type="presParOf" srcId="{98F4C434-7188-4B85-9427-B674F6395FB0}" destId="{A377B9A5-7D60-4DD1-806A-DCA9711F35E5}" srcOrd="0" destOrd="0" presId="urn:microsoft.com/office/officeart/2005/8/layout/chevronAccent+Icon"/>
    <dgm:cxn modelId="{929AC3C8-2A59-4F3D-80DE-6B79049120B5}" type="presParOf" srcId="{98F4C434-7188-4B85-9427-B674F6395FB0}" destId="{551C88A4-0CA8-4912-8D33-E60C1EB7D054}" srcOrd="1" destOrd="0" presId="urn:microsoft.com/office/officeart/2005/8/layout/chevronAccent+Icon"/>
    <dgm:cxn modelId="{C7D39AB4-025D-41B9-9D7B-7F6430BE7867}" type="presParOf" srcId="{0D761765-44B0-49C6-8B81-3552ECA7A7D8}" destId="{A2BD7ECD-A0DB-4D6A-BAC8-62FF25ACB06A}" srcOrd="5" destOrd="0" presId="urn:microsoft.com/office/officeart/2005/8/layout/chevronAccent+Icon"/>
    <dgm:cxn modelId="{FC3CDBF1-3A8F-441F-B4EC-4764EA0DE1EA}" type="presParOf" srcId="{0D761765-44B0-49C6-8B81-3552ECA7A7D8}" destId="{EDE01F4B-8F00-4EF4-AFEF-79ED11E17DB3}" srcOrd="6" destOrd="0" presId="urn:microsoft.com/office/officeart/2005/8/layout/chevronAccent+Icon"/>
    <dgm:cxn modelId="{BC177080-CB60-4C60-A34E-50B822D7DD6B}" type="presParOf" srcId="{EDE01F4B-8F00-4EF4-AFEF-79ED11E17DB3}" destId="{87156F5D-7D1C-462B-9626-240A0FF42990}" srcOrd="0" destOrd="0" presId="urn:microsoft.com/office/officeart/2005/8/layout/chevronAccent+Icon"/>
    <dgm:cxn modelId="{409B3F24-C4C3-47C2-BCA8-3D056BE81A36}" type="presParOf" srcId="{EDE01F4B-8F00-4EF4-AFEF-79ED11E17DB3}" destId="{403F3B9B-C165-43DB-A9EC-BECA64B8EFB8}" srcOrd="1" destOrd="0" presId="urn:microsoft.com/office/officeart/2005/8/layout/chevronAccent+Icon"/>
    <dgm:cxn modelId="{A99C4357-D36E-4F9E-92FB-B7B780CD018F}" type="presParOf" srcId="{0D761765-44B0-49C6-8B81-3552ECA7A7D8}" destId="{8D16522F-2025-4D18-8FDB-27CEE4B6D467}" srcOrd="7" destOrd="0" presId="urn:microsoft.com/office/officeart/2005/8/layout/chevronAccent+Icon"/>
    <dgm:cxn modelId="{406FBB37-23BC-4F11-B28F-35D5E203CC99}" type="presParOf" srcId="{0D761765-44B0-49C6-8B81-3552ECA7A7D8}" destId="{4F4C78F4-482C-4065-9F95-820E127CC722}" srcOrd="8" destOrd="0" presId="urn:microsoft.com/office/officeart/2005/8/layout/chevronAccent+Icon"/>
    <dgm:cxn modelId="{C5984726-2F7F-4A99-9660-7381DA2567FA}" type="presParOf" srcId="{4F4C78F4-482C-4065-9F95-820E127CC722}" destId="{83BC7B93-D3C9-4AB7-8880-B5E412BCFE73}" srcOrd="0" destOrd="0" presId="urn:microsoft.com/office/officeart/2005/8/layout/chevronAccent+Icon"/>
    <dgm:cxn modelId="{9D91DC01-7CD4-42D4-8BEA-56D17C941FBA}" type="presParOf" srcId="{4F4C78F4-482C-4065-9F95-820E127CC722}" destId="{4FD7E0D9-6FA9-4CBA-9369-064DE73B05AE}" srcOrd="1" destOrd="0" presId="urn:microsoft.com/office/officeart/2005/8/layout/chevronAccent+Icon"/>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82C7A97-0FC7-4F76-9C84-03437F7860E7}">
      <dsp:nvSpPr>
        <dsp:cNvPr id="0" name=""/>
        <dsp:cNvSpPr/>
      </dsp:nvSpPr>
      <dsp:spPr>
        <a:xfrm>
          <a:off x="2004"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32512" rIns="56896" bIns="32512"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 lastClr="FFFFFF"/>
              </a:solidFill>
              <a:latin typeface="Calibri"/>
              <a:ea typeface="+mn-ea"/>
              <a:cs typeface="+mn-cs"/>
            </a:rPr>
            <a:t>Scoping Phase (1) - Jun-Dec 2024</a:t>
          </a:r>
        </a:p>
      </dsp:txBody>
      <dsp:txXfrm>
        <a:off x="2004" y="34180"/>
        <a:ext cx="1954113" cy="230400"/>
      </dsp:txXfrm>
    </dsp:sp>
    <dsp:sp modelId="{1B00AEF4-916F-4CB7-9B69-4B80899E0050}">
      <dsp:nvSpPr>
        <dsp:cNvPr id="0" name=""/>
        <dsp:cNvSpPr/>
      </dsp:nvSpPr>
      <dsp:spPr>
        <a:xfrm>
          <a:off x="2004"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Familiarisation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ToC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Systems mapping</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Evidence source identification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Stakeholder mapping  &amp; engagement plan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Methods selction &amp; Design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Draft &amp; Final Scoping Report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Presentations</a:t>
          </a:r>
        </a:p>
        <a:p>
          <a:pPr marL="57150" lvl="1" indent="-57150" algn="l" defTabSz="355600">
            <a:lnSpc>
              <a:spcPct val="90000"/>
            </a:lnSpc>
            <a:spcBef>
              <a:spcPct val="0"/>
            </a:spcBef>
            <a:spcAft>
              <a:spcPct val="15000"/>
            </a:spcAft>
            <a:buChar char="•"/>
          </a:pPr>
          <a:endParaRPr lang="en-GB" sz="800" kern="1200">
            <a:solidFill>
              <a:sysClr val="windowText" lastClr="000000">
                <a:hueOff val="0"/>
                <a:satOff val="0"/>
                <a:lumOff val="0"/>
                <a:alphaOff val="0"/>
              </a:sysClr>
            </a:solidFill>
            <a:latin typeface="Calibri"/>
            <a:ea typeface="+mn-ea"/>
            <a:cs typeface="+mn-cs"/>
          </a:endParaRPr>
        </a:p>
      </dsp:txBody>
      <dsp:txXfrm>
        <a:off x="2004" y="264580"/>
        <a:ext cx="1954113" cy="1523689"/>
      </dsp:txXfrm>
    </dsp:sp>
    <dsp:sp modelId="{04EC7E9A-1ADA-471D-949A-AECB02DD6F5F}">
      <dsp:nvSpPr>
        <dsp:cNvPr id="0" name=""/>
        <dsp:cNvSpPr/>
      </dsp:nvSpPr>
      <dsp:spPr>
        <a:xfrm>
          <a:off x="2229693"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32512" rIns="56896" bIns="32512"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 lastClr="FFFFFF"/>
              </a:solidFill>
              <a:latin typeface="Calibri"/>
              <a:ea typeface="+mn-ea"/>
              <a:cs typeface="+mn-cs"/>
            </a:rPr>
            <a:t>Interim Phase (2) - Jan - Jun 2025</a:t>
          </a:r>
        </a:p>
      </dsp:txBody>
      <dsp:txXfrm>
        <a:off x="2229693" y="34180"/>
        <a:ext cx="1954113" cy="230400"/>
      </dsp:txXfrm>
    </dsp:sp>
    <dsp:sp modelId="{97CBF7E9-5070-4A59-87A4-2C4BAF66A541}">
      <dsp:nvSpPr>
        <dsp:cNvPr id="0" name=""/>
        <dsp:cNvSpPr/>
      </dsp:nvSpPr>
      <dsp:spPr>
        <a:xfrm>
          <a:off x="2229693"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Evaluation matrix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Research tool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Qualitative data collection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Surveys</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Data analysis</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Baseline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Process evaluation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Initial impact evaluation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Draft and final Interim Report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Presentations</a:t>
          </a:r>
        </a:p>
      </dsp:txBody>
      <dsp:txXfrm>
        <a:off x="2229693" y="264580"/>
        <a:ext cx="1954113" cy="1523689"/>
      </dsp:txXfrm>
    </dsp:sp>
    <dsp:sp modelId="{F93C5518-6EE1-4C36-B307-311E82FB4470}">
      <dsp:nvSpPr>
        <dsp:cNvPr id="0" name=""/>
        <dsp:cNvSpPr/>
      </dsp:nvSpPr>
      <dsp:spPr>
        <a:xfrm>
          <a:off x="4457382" y="34180"/>
          <a:ext cx="1954113" cy="230400"/>
        </a:xfrm>
        <a:prstGeom prst="rect">
          <a:avLst/>
        </a:prstGeom>
        <a:solidFill>
          <a:srgbClr val="002554">
            <a:hueOff val="0"/>
            <a:satOff val="0"/>
            <a:lumOff val="0"/>
            <a:alphaOff val="0"/>
          </a:srgb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32512" rIns="56896" bIns="32512"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 lastClr="FFFFFF"/>
              </a:solidFill>
              <a:latin typeface="Calibri"/>
              <a:ea typeface="+mn-ea"/>
              <a:cs typeface="+mn-cs"/>
            </a:rPr>
            <a:t>Final Phase (3) - Jul 2025 - Mar 2026</a:t>
          </a:r>
        </a:p>
      </dsp:txBody>
      <dsp:txXfrm>
        <a:off x="4457382" y="34180"/>
        <a:ext cx="1954113" cy="230400"/>
      </dsp:txXfrm>
    </dsp:sp>
    <dsp:sp modelId="{3ED6C260-E02C-458D-AAD7-5C17E2D603EA}">
      <dsp:nvSpPr>
        <dsp:cNvPr id="0" name=""/>
        <dsp:cNvSpPr/>
      </dsp:nvSpPr>
      <dsp:spPr>
        <a:xfrm>
          <a:off x="4457382" y="264580"/>
          <a:ext cx="1954113" cy="1523689"/>
        </a:xfrm>
        <a:prstGeom prst="rect">
          <a:avLst/>
        </a:prstGeom>
        <a:solidFill>
          <a:srgbClr val="002554">
            <a:alpha val="90000"/>
            <a:tint val="40000"/>
            <a:hueOff val="0"/>
            <a:satOff val="0"/>
            <a:lumOff val="0"/>
            <a:alphaOff val="0"/>
          </a:srgbClr>
        </a:solidFill>
        <a:ln w="25400" cap="flat" cmpd="sng" algn="ctr">
          <a:solidFill>
            <a:srgbClr val="002554">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2672" tIns="42672" rIns="56896" bIns="64008" numCol="1" spcCol="1270" anchor="t" anchorCtr="0">
          <a:noAutofit/>
        </a:bodyPr>
        <a:lstStyle/>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Final phase impact evaluation planning</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Evidence review</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Research tool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Qualitative data collection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Surveys</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Data analysis</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Baseline development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Process evaluation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Initial impact evaluation</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Draft and Final Final Report</a:t>
          </a:r>
        </a:p>
        <a:p>
          <a:pPr marL="57150" lvl="1" indent="-57150" algn="l" defTabSz="355600">
            <a:lnSpc>
              <a:spcPct val="90000"/>
            </a:lnSpc>
            <a:spcBef>
              <a:spcPct val="0"/>
            </a:spcBef>
            <a:spcAft>
              <a:spcPct val="15000"/>
            </a:spcAft>
            <a:buChar char="•"/>
          </a:pPr>
          <a:r>
            <a:rPr lang="en-GB" sz="800" kern="1200">
              <a:solidFill>
                <a:sysClr val="windowText" lastClr="000000">
                  <a:hueOff val="0"/>
                  <a:satOff val="0"/>
                  <a:lumOff val="0"/>
                  <a:alphaOff val="0"/>
                </a:sysClr>
              </a:solidFill>
              <a:latin typeface="Calibri"/>
              <a:ea typeface="+mn-ea"/>
              <a:cs typeface="+mn-cs"/>
            </a:rPr>
            <a:t>Presentations</a:t>
          </a:r>
        </a:p>
      </dsp:txBody>
      <dsp:txXfrm>
        <a:off x="4457382" y="264580"/>
        <a:ext cx="1954113" cy="152368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30218C-5656-4B72-A830-FC4F487351C6}">
      <dsp:nvSpPr>
        <dsp:cNvPr id="0" name=""/>
        <dsp:cNvSpPr/>
      </dsp:nvSpPr>
      <dsp:spPr>
        <a:xfrm>
          <a:off x="958" y="101951"/>
          <a:ext cx="1010912" cy="871152"/>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3D332E77-899A-43DF-9BE0-13FF11E59493}">
      <dsp:nvSpPr>
        <dsp:cNvPr id="0" name=""/>
        <dsp:cNvSpPr/>
      </dsp:nvSpPr>
      <dsp:spPr>
        <a:xfrm>
          <a:off x="126962" y="233632"/>
          <a:ext cx="1140804" cy="629361"/>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a:ea typeface="+mn-ea"/>
              <a:cs typeface="+mn-cs"/>
            </a:rPr>
            <a:t>Evidence from each data collection strand is mapped by EQ &amp;  salient themes noted</a:t>
          </a:r>
        </a:p>
      </dsp:txBody>
      <dsp:txXfrm>
        <a:off x="145395" y="252065"/>
        <a:ext cx="1103938" cy="592495"/>
      </dsp:txXfrm>
    </dsp:sp>
    <dsp:sp modelId="{D0AF11AD-7107-438F-AD63-D266BC8214C9}">
      <dsp:nvSpPr>
        <dsp:cNvPr id="0" name=""/>
        <dsp:cNvSpPr/>
      </dsp:nvSpPr>
      <dsp:spPr>
        <a:xfrm>
          <a:off x="1299216" y="101951"/>
          <a:ext cx="1010912" cy="871152"/>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87421E9-FFFE-49E6-8AB1-A2500822A35D}">
      <dsp:nvSpPr>
        <dsp:cNvPr id="0" name=""/>
        <dsp:cNvSpPr/>
      </dsp:nvSpPr>
      <dsp:spPr>
        <a:xfrm>
          <a:off x="1425220" y="211700"/>
          <a:ext cx="1140804" cy="673225"/>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a:ea typeface="+mn-ea"/>
              <a:cs typeface="+mn-cs"/>
            </a:rPr>
            <a:t>Full evaluation team discusses the most common, unanticipated, interesting themes</a:t>
          </a:r>
        </a:p>
      </dsp:txBody>
      <dsp:txXfrm>
        <a:off x="1444938" y="231418"/>
        <a:ext cx="1101368" cy="633789"/>
      </dsp:txXfrm>
    </dsp:sp>
    <dsp:sp modelId="{A377B9A5-7D60-4DD1-806A-DCA9711F35E5}">
      <dsp:nvSpPr>
        <dsp:cNvPr id="0" name=""/>
        <dsp:cNvSpPr/>
      </dsp:nvSpPr>
      <dsp:spPr>
        <a:xfrm>
          <a:off x="2597475" y="101951"/>
          <a:ext cx="1010912" cy="871152"/>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51C88A4-0CA8-4912-8D33-E60C1EB7D054}">
      <dsp:nvSpPr>
        <dsp:cNvPr id="0" name=""/>
        <dsp:cNvSpPr/>
      </dsp:nvSpPr>
      <dsp:spPr>
        <a:xfrm>
          <a:off x="2723479" y="233632"/>
          <a:ext cx="1140804" cy="629361"/>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a:ea typeface="+mn-ea"/>
              <a:cs typeface="+mn-cs"/>
            </a:rPr>
            <a:t>Together the team begin to develop a narrative</a:t>
          </a:r>
        </a:p>
      </dsp:txBody>
      <dsp:txXfrm>
        <a:off x="2741912" y="252065"/>
        <a:ext cx="1103938" cy="592495"/>
      </dsp:txXfrm>
    </dsp:sp>
    <dsp:sp modelId="{87156F5D-7D1C-462B-9626-240A0FF42990}">
      <dsp:nvSpPr>
        <dsp:cNvPr id="0" name=""/>
        <dsp:cNvSpPr/>
      </dsp:nvSpPr>
      <dsp:spPr>
        <a:xfrm>
          <a:off x="3895734" y="101951"/>
          <a:ext cx="1010912" cy="871152"/>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403F3B9B-C165-43DB-A9EC-BECA64B8EFB8}">
      <dsp:nvSpPr>
        <dsp:cNvPr id="0" name=""/>
        <dsp:cNvSpPr/>
      </dsp:nvSpPr>
      <dsp:spPr>
        <a:xfrm>
          <a:off x="4021738" y="233632"/>
          <a:ext cx="1140804" cy="629361"/>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a:ea typeface="+mn-ea"/>
              <a:cs typeface="+mn-cs"/>
            </a:rPr>
            <a:t>Team members are assigned different themes - they triangulate the data from different sources</a:t>
          </a:r>
        </a:p>
      </dsp:txBody>
      <dsp:txXfrm>
        <a:off x="4040171" y="252065"/>
        <a:ext cx="1103938" cy="592495"/>
      </dsp:txXfrm>
    </dsp:sp>
    <dsp:sp modelId="{83BC7B93-D3C9-4AB7-8880-B5E412BCFE73}">
      <dsp:nvSpPr>
        <dsp:cNvPr id="0" name=""/>
        <dsp:cNvSpPr/>
      </dsp:nvSpPr>
      <dsp:spPr>
        <a:xfrm>
          <a:off x="5193993" y="101951"/>
          <a:ext cx="1010912" cy="871152"/>
        </a:xfrm>
        <a:prstGeom prst="chevron">
          <a:avLst>
            <a:gd name="adj" fmla="val 40000"/>
          </a:avLst>
        </a:prstGeom>
        <a:solidFill>
          <a:srgbClr val="002554">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4FD7E0D9-6FA9-4CBA-9369-064DE73B05AE}">
      <dsp:nvSpPr>
        <dsp:cNvPr id="0" name=""/>
        <dsp:cNvSpPr/>
      </dsp:nvSpPr>
      <dsp:spPr>
        <a:xfrm>
          <a:off x="5246582" y="233632"/>
          <a:ext cx="1140804" cy="629361"/>
        </a:xfrm>
        <a:prstGeom prst="roundRect">
          <a:avLst>
            <a:gd name="adj" fmla="val 10000"/>
          </a:avLst>
        </a:prstGeom>
        <a:solidFill>
          <a:sysClr val="window" lastClr="FFFFFF">
            <a:alpha val="90000"/>
            <a:hueOff val="0"/>
            <a:satOff val="0"/>
            <a:lumOff val="0"/>
            <a:alphaOff val="0"/>
          </a:sysClr>
        </a:solidFill>
        <a:ln w="25400" cap="flat" cmpd="sng" algn="ctr">
          <a:solidFill>
            <a:srgbClr val="002554">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a:ea typeface="+mn-ea"/>
              <a:cs typeface="+mn-cs"/>
            </a:rPr>
            <a:t>The team come together in a final analytical session to agree the final narrative</a:t>
          </a:r>
        </a:p>
      </dsp:txBody>
      <dsp:txXfrm>
        <a:off x="5265015" y="252065"/>
        <a:ext cx="1103938" cy="592495"/>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Accent+Icon">
  <dgm:title val="Chevron Accent Process"/>
  <dgm:desc val="Use to show sequential steps in a task, process, or workflow, or to emphasize movement or direction. Works best with minimal Level 1 and Level 2 text."/>
  <dgm:catLst>
    <dgm:cat type="process" pri="9500"/>
    <dgm:cat type="officeonline" pri="2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osite" refType="w"/>
      <dgm:constr type="primFontSz" for="des" forName="txNode" op="equ" val="65"/>
      <dgm:constr type="w" for="ch" forName="compositeSpace" refType="w" refFor="ch" refForName="composite" fact="0.028"/>
    </dgm:constrLst>
    <dgm:ruleLst/>
    <dgm:forEach name="Name4" axis="ch" ptType="node">
      <dgm:layoutNode name="composite">
        <dgm:alg type="composite"/>
        <dgm:shape xmlns:r="http://schemas.openxmlformats.org/officeDocument/2006/relationships" r:blip="">
          <dgm:adjLst/>
        </dgm:shape>
        <dgm:presOf/>
        <dgm:choose name="Name5">
          <dgm:if name="Name6" func="var" arg="dir" op="equ" val="norm">
            <dgm:constrLst>
              <dgm:constr type="l" for="ch" forName="bgChev"/>
              <dgm:constr type="w" for="ch" forName="bgChev" refType="w" fact="0.9"/>
              <dgm:constr type="t" for="ch" forName="bgChev"/>
              <dgm:constr type="h" for="ch" forName="bgChev" refType="w" refFor="ch" refForName="bgChev" fact="0.386"/>
              <dgm:constr type="l" for="ch" forName="txNode" refType="w" fact="0.24"/>
              <dgm:constr type="w" for="ch" forName="txNode" refType="w" fact="0.76"/>
              <dgm:constr type="t" for="ch" forName="txNode" refType="h" refFor="ch" refForName="bgChev" fact="0.25"/>
              <dgm:constr type="h" for="ch" forName="txNode" refType="h" refFor="ch" refForName="bgChev"/>
            </dgm:constrLst>
          </dgm:if>
          <dgm:else name="Name7">
            <dgm:constrLst>
              <dgm:constr type="l" for="ch" forName="bgChev" refType="w" fact="0.1"/>
              <dgm:constr type="w" for="ch" forName="bgChev" refType="w" fact="0.9"/>
              <dgm:constr type="t" for="ch" forName="bgChev"/>
              <dgm:constr type="h" for="ch" forName="bgChev" refType="w" refFor="ch" refForName="bgChev" fact="0.386"/>
              <dgm:constr type="l" for="ch" forName="txNode"/>
              <dgm:constr type="w" for="ch" forName="txNode" refType="w" fact="0.76"/>
              <dgm:constr type="t" for="ch" forName="txNode" refType="h" refFor="ch" refForName="bgChev" fact="0.25"/>
              <dgm:constr type="h" for="ch" forName="txNode" refType="h" refFor="ch" refForName="bgChev"/>
            </dgm:constrLst>
          </dgm:else>
        </dgm:choose>
        <dgm:ruleLst/>
        <dgm:layoutNode name="bgChev" styleLbl="node1">
          <dgm:alg type="sp"/>
          <dgm:choose name="Name8">
            <dgm:if name="Name9" func="var" arg="dir" op="equ" val="norm">
              <dgm:shape xmlns:r="http://schemas.openxmlformats.org/officeDocument/2006/relationships" type="chevron" r:blip="">
                <dgm:adjLst>
                  <dgm:adj idx="1" val="0.4"/>
                </dgm:adjLst>
              </dgm:shape>
            </dgm:if>
            <dgm:else name="Name10">
              <dgm:shape xmlns:r="http://schemas.openxmlformats.org/officeDocument/2006/relationships" rot="180" type="chevron" r:blip="">
                <dgm:adjLst>
                  <dgm:adj idx="1" val="0.4"/>
                </dgm:adjLst>
              </dgm:shape>
            </dgm:else>
          </dgm:choose>
          <dgm:presOf/>
          <dgm:constrLst/>
        </dgm:layoutNode>
        <dgm:layoutNode name="txNode" styleLbl="fgAcc1">
          <dgm:varLst>
            <dgm:bulletEnabled val="1"/>
          </dgm:varLst>
          <dgm:alg type="tx"/>
          <dgm:shape xmlns:r="http://schemas.openxmlformats.org/officeDocument/2006/relationships" type="roundRect" r:blip="">
            <dgm:adjLst>
              <dgm:adj idx="1" val="0.1"/>
            </dgm:adjLst>
          </dgm:shape>
          <dgm:presOf axis="desOrSelf" ptType="node"/>
          <dgm:ruleLst>
            <dgm:rule type="primFontSz" val="5" fact="NaN" max="NaN"/>
          </dgm:ruleLst>
        </dgm:layoutNode>
      </dgm:layoutNode>
      <dgm:forEach name="Name11" axis="followSib" ptType="sibTrans" cnt="1">
        <dgm:layoutNode name="compositeSpace">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576Y2SXZTANK-1599574555-8037</_dlc_DocId>
    <_dlc_DocIdUrl xmlns="562bfd5c-d220-4eae-8549-a844a2da3c2d">
      <Url>https://beisgov.sharepoint.com/sites/AITaskforce-OS/_layouts/15/DocIdRedir.aspx?ID=576Y2SXZTANK-1599574555-8037</Url>
      <Description>576Y2SXZTANK-1599574555-8037</Description>
    </_dlc_DocIdUrl>
  </documentManagement>
</p:properties>
</file>

<file path=customXml/itemProps1.xml><?xml version="1.0" encoding="utf-8"?>
<ds:datastoreItem xmlns:ds="http://schemas.openxmlformats.org/officeDocument/2006/customXml" ds:itemID="{9700E79D-B743-4147-A51B-6F089933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A6A1B0-9DCC-4515-B27B-87D9E49DB8B0}">
  <ds:schemaRefs>
    <ds:schemaRef ds:uri="http://schemas.microsoft.com/sharepoint/v3/contenttype/forms"/>
  </ds:schemaRefs>
</ds:datastoreItem>
</file>

<file path=customXml/itemProps3.xml><?xml version="1.0" encoding="utf-8"?>
<ds:datastoreItem xmlns:ds="http://schemas.openxmlformats.org/officeDocument/2006/customXml" ds:itemID="{F733B6C0-52ED-485C-A641-9E6DD5873E5D}">
  <ds:schemaRefs>
    <ds:schemaRef ds:uri="http://schemas.microsoft.com/sharepoint/events"/>
  </ds:schemaRefs>
</ds:datastoreItem>
</file>

<file path=customXml/itemProps4.xml><?xml version="1.0" encoding="utf-8"?>
<ds:datastoreItem xmlns:ds="http://schemas.openxmlformats.org/officeDocument/2006/customXml" ds:itemID="{2C04E6C5-5280-46C7-AA78-4B855337BDAF}">
  <ds:schemaRefs>
    <ds:schemaRef ds:uri="http://purl.org/dc/elements/1.1/"/>
    <ds:schemaRef ds:uri="http://purl.org/dc/terms/"/>
    <ds:schemaRef ds:uri="562bfd5c-d220-4eae-8549-a844a2da3c2d"/>
    <ds:schemaRef ds:uri="http://schemas.microsoft.com/office/2006/metadata/properties"/>
    <ds:schemaRef ds:uri="http://schemas.openxmlformats.org/package/2006/metadata/core-properties"/>
    <ds:schemaRef ds:uri="http://schemas.microsoft.com/office/infopath/2007/PartnerControls"/>
    <ds:schemaRef ds:uri="c0a68551-ff92-43e6-a4d8-28fcb27a2048"/>
    <ds:schemaRef ds:uri="aaacb922-5235-4a66-b188-303b9b46fbd7"/>
    <ds:schemaRef ds:uri="http://schemas.microsoft.com/office/2006/documentManagement/types"/>
    <ds:schemaRef ds:uri="0f9fa326-da26-4ea8-b6a9-645e8136fe1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13100</Words>
  <Characters>74675</Characters>
  <Application>Microsoft Office Word</Application>
  <DocSecurity>0</DocSecurity>
  <Lines>622</Lines>
  <Paragraphs>175</Paragraphs>
  <ScaleCrop>false</ScaleCrop>
  <Company/>
  <LinksUpToDate>false</LinksUpToDate>
  <CharactersWithSpaces>87600</CharactersWithSpaces>
  <SharedDoc>false</SharedDoc>
  <HyperlinkBase/>
  <HLinks>
    <vt:vector size="120" baseType="variant">
      <vt:variant>
        <vt:i4>3866730</vt:i4>
      </vt:variant>
      <vt:variant>
        <vt:i4>27</vt:i4>
      </vt:variant>
      <vt:variant>
        <vt:i4>0</vt:i4>
      </vt:variant>
      <vt:variant>
        <vt:i4>5</vt:i4>
      </vt:variant>
      <vt:variant>
        <vt:lpwstr>https://www.smartsheet.com/</vt:lpwstr>
      </vt:variant>
      <vt:variant>
        <vt:lpwstr/>
      </vt:variant>
      <vt:variant>
        <vt:i4>2490427</vt:i4>
      </vt:variant>
      <vt:variant>
        <vt:i4>24</vt:i4>
      </vt:variant>
      <vt:variant>
        <vt:i4>0</vt:i4>
      </vt:variant>
      <vt:variant>
        <vt:i4>5</vt:i4>
      </vt:variant>
      <vt:variant>
        <vt:lpwstr>https://www.gov.uk/government/publications/the-magenta-book</vt:lpwstr>
      </vt:variant>
      <vt:variant>
        <vt:lpwstr/>
      </vt:variant>
      <vt:variant>
        <vt:i4>3276897</vt:i4>
      </vt:variant>
      <vt:variant>
        <vt:i4>21</vt:i4>
      </vt:variant>
      <vt:variant>
        <vt:i4>0</vt:i4>
      </vt:variant>
      <vt:variant>
        <vt:i4>5</vt:i4>
      </vt:variant>
      <vt:variant>
        <vt:lpwstr>https://www.gov.uk/government/publications/the-aqua-book-guidance-on-producing-quality-analysis-for-government</vt:lpwstr>
      </vt:variant>
      <vt:variant>
        <vt:lpwstr/>
      </vt:variant>
      <vt:variant>
        <vt:i4>524308</vt:i4>
      </vt:variant>
      <vt:variant>
        <vt:i4>18</vt:i4>
      </vt:variant>
      <vt:variant>
        <vt:i4>0</vt:i4>
      </vt:variant>
      <vt:variant>
        <vt:i4>5</vt:i4>
      </vt:variant>
      <vt:variant>
        <vt:lpwstr>https://www.utpjournals.press/doi/pdf/10.3138/cjpe.68004</vt:lpwstr>
      </vt:variant>
      <vt:variant>
        <vt:lpwstr/>
      </vt:variant>
      <vt:variant>
        <vt:i4>589865</vt:i4>
      </vt:variant>
      <vt:variant>
        <vt:i4>15</vt:i4>
      </vt:variant>
      <vt:variant>
        <vt:i4>0</vt:i4>
      </vt:variant>
      <vt:variant>
        <vt:i4>5</vt:i4>
      </vt:variant>
      <vt:variant>
        <vt:lpwstr>https://assets.publishing.service.gov.uk/government/uploads/system/uploads/attachment_data/file/67427/design-method-impact-eval.pdf</vt:lpwstr>
      </vt:variant>
      <vt:variant>
        <vt:lpwstr/>
      </vt:variant>
      <vt:variant>
        <vt:i4>5308481</vt:i4>
      </vt:variant>
      <vt:variant>
        <vt:i4>12</vt:i4>
      </vt:variant>
      <vt:variant>
        <vt:i4>0</vt:i4>
      </vt:variant>
      <vt:variant>
        <vt:i4>5</vt:i4>
      </vt:variant>
      <vt:variant>
        <vt:lpwstr>https://www.cecan.ac.uk/news/the-visual-representation-of-complexity/</vt:lpwstr>
      </vt:variant>
      <vt:variant>
        <vt:lpwstr/>
      </vt:variant>
      <vt:variant>
        <vt:i4>5832784</vt:i4>
      </vt:variant>
      <vt:variant>
        <vt:i4>9</vt:i4>
      </vt:variant>
      <vt:variant>
        <vt:i4>0</vt:i4>
      </vt:variant>
      <vt:variant>
        <vt:i4>5</vt:i4>
      </vt:variant>
      <vt:variant>
        <vt:lpwstr>https://www.gov.uk/government/publications/international-scientific-report-on-advanced-ai-safety-expert-advisory-panel-and-principles-and-procedures/international-scientific-report-on-advanced-ai-safety-expert-advisory-panel-members</vt:lpwstr>
      </vt:variant>
      <vt:variant>
        <vt:lpwstr/>
      </vt:variant>
      <vt:variant>
        <vt:i4>2031693</vt:i4>
      </vt:variant>
      <vt:variant>
        <vt:i4>6</vt:i4>
      </vt:variant>
      <vt:variant>
        <vt:i4>0</vt:i4>
      </vt:variant>
      <vt:variant>
        <vt:i4>5</vt:i4>
      </vt:variant>
      <vt:variant>
        <vt:lpwstr>https://www.whitecase.com/insight-our-thinking/ai-watch-global-regulatory-tracker</vt:lpwstr>
      </vt:variant>
      <vt:variant>
        <vt:lpwstr/>
      </vt:variant>
      <vt:variant>
        <vt:i4>7798910</vt:i4>
      </vt:variant>
      <vt:variant>
        <vt:i4>3</vt:i4>
      </vt:variant>
      <vt:variant>
        <vt:i4>0</vt:i4>
      </vt:variant>
      <vt:variant>
        <vt:i4>5</vt:i4>
      </vt:variant>
      <vt:variant>
        <vt:lpwstr>https://assets.publishing.service.gov.uk/media/5a7c60c7e5274a7ee25670f5/wp40-planning-eval-assessments.pdf</vt:lpwstr>
      </vt:variant>
      <vt:variant>
        <vt:lpwstr/>
      </vt:variant>
      <vt:variant>
        <vt:i4>2228285</vt:i4>
      </vt:variant>
      <vt:variant>
        <vt:i4>0</vt:i4>
      </vt:variant>
      <vt:variant>
        <vt:i4>0</vt:i4>
      </vt:variant>
      <vt:variant>
        <vt:i4>5</vt:i4>
      </vt:variant>
      <vt:variant>
        <vt:lpwstr>https://www.gov.uk/government/publications/frontier-ai-capabilities-and-risks-discussion-paper</vt:lpwstr>
      </vt:variant>
      <vt:variant>
        <vt:lpwstr/>
      </vt:variant>
      <vt:variant>
        <vt:i4>6422590</vt:i4>
      </vt:variant>
      <vt:variant>
        <vt:i4>24</vt:i4>
      </vt:variant>
      <vt:variant>
        <vt:i4>0</vt:i4>
      </vt:variant>
      <vt:variant>
        <vt:i4>5</vt:i4>
      </vt:variant>
      <vt:variant>
        <vt:lpwstr>https://www.euractiv.com/section/artificial-intelligence/news/commissions-dg-for-technology-restructures-to-realise-ai-office/</vt:lpwstr>
      </vt:variant>
      <vt:variant>
        <vt:lpwstr/>
      </vt:variant>
      <vt:variant>
        <vt:i4>262157</vt:i4>
      </vt:variant>
      <vt:variant>
        <vt:i4>21</vt:i4>
      </vt:variant>
      <vt:variant>
        <vt:i4>0</vt:i4>
      </vt:variant>
      <vt:variant>
        <vt:i4>5</vt:i4>
      </vt:variant>
      <vt:variant>
        <vt:lpwstr>https://www.europarl.europa.eu/news/en/press-room/20240308IPR19015/artificial-intelligence-act-meps-adopt-landmark-law</vt:lpwstr>
      </vt:variant>
      <vt:variant>
        <vt:lpwstr>:~:text=Banned%20applications&amp;text=Emotion%20recognition%20in%20the%20workplace,vulnerabilities%20will%20also%20be%20forbidden</vt:lpwstr>
      </vt:variant>
      <vt:variant>
        <vt:i4>5636186</vt:i4>
      </vt:variant>
      <vt:variant>
        <vt:i4>18</vt:i4>
      </vt:variant>
      <vt:variant>
        <vt:i4>0</vt:i4>
      </vt:variant>
      <vt:variant>
        <vt:i4>5</vt:i4>
      </vt:variant>
      <vt:variant>
        <vt:lpwstr>https://www.nist.gov/aisi</vt:lpwstr>
      </vt:variant>
      <vt:variant>
        <vt:lpwstr/>
      </vt:variant>
      <vt:variant>
        <vt:i4>7667817</vt:i4>
      </vt:variant>
      <vt:variant>
        <vt:i4>15</vt:i4>
      </vt:variant>
      <vt:variant>
        <vt:i4>0</vt:i4>
      </vt:variant>
      <vt:variant>
        <vt:i4>5</vt:i4>
      </vt:variant>
      <vt:variant>
        <vt:lpwstr>https://www.whitehouse.gov/briefing-room/presidential-actions/2023/10/30/executive-order-on-the-safe-secure-and-trustworthy-development-and-use-of-artificial-intelligence/</vt:lpwstr>
      </vt:variant>
      <vt:variant>
        <vt:lpwstr/>
      </vt:variant>
      <vt:variant>
        <vt:i4>327748</vt:i4>
      </vt:variant>
      <vt:variant>
        <vt:i4>12</vt:i4>
      </vt:variant>
      <vt:variant>
        <vt:i4>0</vt:i4>
      </vt:variant>
      <vt:variant>
        <vt:i4>5</vt:i4>
      </vt:variant>
      <vt:variant>
        <vt:lpwstr>https://www.gov.uk/government/news/governments-trailblazing-institute-for-ai-safety-to-open-doors-in-san-francisco</vt:lpwstr>
      </vt:variant>
      <vt:variant>
        <vt:lpwstr>:~:text=By%20expanding%20its%20foothold%20in,safety%20policy%20across%20the%20globe</vt:lpwstr>
      </vt:variant>
      <vt:variant>
        <vt:i4>4587527</vt:i4>
      </vt:variant>
      <vt:variant>
        <vt:i4>9</vt:i4>
      </vt:variant>
      <vt:variant>
        <vt:i4>0</vt:i4>
      </vt:variant>
      <vt:variant>
        <vt:i4>5</vt:i4>
      </vt:variant>
      <vt:variant>
        <vt:lpwstr>https://www.nist.gov/system/files/documents/2024/05/21/AISI-vision-21May2024.pdf</vt:lpwstr>
      </vt:variant>
      <vt:variant>
        <vt:lpwstr/>
      </vt:variant>
      <vt:variant>
        <vt:i4>2949181</vt:i4>
      </vt:variant>
      <vt:variant>
        <vt:i4>6</vt:i4>
      </vt:variant>
      <vt:variant>
        <vt:i4>0</vt:i4>
      </vt:variant>
      <vt:variant>
        <vt:i4>5</vt:i4>
      </vt:variant>
      <vt:variant>
        <vt:lpwstr>https://www.gov.uk/government/news/global-leaders-agree-to-launch-first-international-network-of-ai-safety-institutes-to-boost-understanding-of-ai</vt:lpwstr>
      </vt:variant>
      <vt:variant>
        <vt:lpwstr/>
      </vt:variant>
      <vt:variant>
        <vt:i4>2949181</vt:i4>
      </vt:variant>
      <vt:variant>
        <vt:i4>3</vt:i4>
      </vt:variant>
      <vt:variant>
        <vt:i4>0</vt:i4>
      </vt:variant>
      <vt:variant>
        <vt:i4>5</vt:i4>
      </vt:variant>
      <vt:variant>
        <vt:lpwstr>https://www.gov.uk/government/news/global-leaders-agree-to-launch-first-international-network-of-ai-safety-institutes-to-boost-understanding-of-ai</vt:lpwstr>
      </vt:variant>
      <vt:variant>
        <vt:lpwstr/>
      </vt:variant>
      <vt:variant>
        <vt:i4>3276906</vt:i4>
      </vt:variant>
      <vt:variant>
        <vt:i4>0</vt:i4>
      </vt:variant>
      <vt:variant>
        <vt:i4>0</vt:i4>
      </vt:variant>
      <vt:variant>
        <vt:i4>5</vt:i4>
      </vt:variant>
      <vt:variant>
        <vt:lpwstr>https://www.gov.uk/government/publications/ai-safety-institute-overview/introducing-the-ai-safety-institute</vt:lpwstr>
      </vt:variant>
      <vt:variant>
        <vt:lpwstr>ministerial-foreword</vt:lpwstr>
      </vt:variant>
      <vt:variant>
        <vt:i4>2359349</vt:i4>
      </vt:variant>
      <vt:variant>
        <vt:i4>0</vt:i4>
      </vt:variant>
      <vt:variant>
        <vt:i4>0</vt:i4>
      </vt:variant>
      <vt:variant>
        <vt:i4>5</vt:i4>
      </vt:variant>
      <vt:variant>
        <vt:lpwstr>https://www.mrs.org.uk/about/mrqsab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2024-10-14T16:04:00Z</dcterms:created>
  <dcterms:modified xsi:type="dcterms:W3CDTF">2024-10-14T16:04:00Z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db7509e1-aa30-4c42-affa-d9530748133f</vt:lpwstr>
  </property>
  <property fmtid="{D5CDD505-2E9C-101B-9397-08002B2CF9AE}" pid="7" name="KIM_GovernmentBody">
    <vt:lpwstr>3;#DSIT|9b2b16d8-8f0e-f9f9-8d2e-30d6eeb93788</vt:lpwstr>
  </property>
  <property fmtid="{D5CDD505-2E9C-101B-9397-08002B2CF9AE}" pid="8" name="MediaServiceImageTags">
    <vt:lpwstr/>
  </property>
  <property fmtid="{D5CDD505-2E9C-101B-9397-08002B2CF9AE}" pid="9" name="MSIP_Label_ba62f585-b40f-4ab9-bafe-39150f03d124_Enabled">
    <vt:lpwstr>true</vt:lpwstr>
  </property>
  <property fmtid="{D5CDD505-2E9C-101B-9397-08002B2CF9AE}" pid="10" name="MSIP_Label_ba62f585-b40f-4ab9-bafe-39150f03d124_SetDate">
    <vt:lpwstr>2024-07-29T13:46:52Z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ea0f15e2-5381-43aa-b5e2-edf58e2d9f27</vt:lpwstr>
  </property>
  <property fmtid="{D5CDD505-2E9C-101B-9397-08002B2CF9AE}" pid="15" name="MSIP_Label_ba62f585-b40f-4ab9-bafe-39150f03d124_ContentBits">
    <vt:lpwstr>0</vt:lpwstr>
  </property>
</Properties>
</file>